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F6944">
      <w:pPr>
        <w:pStyle w:val="2"/>
        <w:numPr>
          <w:ilvl w:val="0"/>
          <w:numId w:val="0"/>
        </w:numPr>
        <w:ind w:leftChars="0"/>
        <w:jc w:val="center"/>
        <w:rPr>
          <w:color w:val="auto"/>
        </w:rPr>
      </w:pPr>
      <w:bookmarkStart w:id="0" w:name="_Toc155185888"/>
      <w:bookmarkStart w:id="1" w:name="_Toc256000011"/>
      <w:bookmarkStart w:id="2" w:name="_Toc163492885"/>
      <w:r>
        <w:rPr>
          <w:rFonts w:hint="eastAsia"/>
          <w:color w:val="auto"/>
        </w:rPr>
        <w:t>采购需求</w:t>
      </w:r>
      <w:bookmarkEnd w:id="0"/>
      <w:bookmarkEnd w:id="1"/>
      <w:bookmarkEnd w:id="2"/>
      <w:bookmarkStart w:id="3" w:name="目录_第三章_采购需求_40"/>
      <w:bookmarkEnd w:id="3"/>
    </w:p>
    <w:p w14:paraId="615132A4">
      <w:pPr>
        <w:pStyle w:val="9"/>
        <w:spacing w:before="156" w:beforeLines="50" w:after="156" w:afterLines="50" w:line="400" w:lineRule="exact"/>
        <w:ind w:firstLine="643"/>
        <w:outlineLvl w:val="1"/>
        <w:rPr>
          <w:rStyle w:val="8"/>
          <w:rFonts w:ascii="宋体" w:hAnsi="宋体" w:cs="宋体"/>
          <w:b/>
          <w:bCs/>
          <w:color w:val="auto"/>
          <w:sz w:val="32"/>
          <w:szCs w:val="32"/>
        </w:rPr>
      </w:pPr>
      <w:bookmarkStart w:id="4" w:name="_Toc511889434"/>
      <w:bookmarkEnd w:id="4"/>
      <w:bookmarkStart w:id="5" w:name="_Toc102057735"/>
      <w:bookmarkEnd w:id="5"/>
      <w:bookmarkStart w:id="6" w:name="_Toc102056235"/>
      <w:bookmarkEnd w:id="6"/>
      <w:bookmarkStart w:id="7" w:name="_Toc102114937"/>
      <w:bookmarkEnd w:id="7"/>
      <w:bookmarkStart w:id="8" w:name="_Toc102119870"/>
      <w:bookmarkEnd w:id="8"/>
      <w:bookmarkStart w:id="9" w:name="_Toc494561956"/>
      <w:bookmarkEnd w:id="9"/>
      <w:bookmarkStart w:id="10" w:name="_Toc102116039"/>
      <w:bookmarkEnd w:id="10"/>
      <w:bookmarkStart w:id="11" w:name="_Toc511894512"/>
      <w:bookmarkEnd w:id="11"/>
      <w:bookmarkStart w:id="12" w:name="_Toc102116169"/>
      <w:bookmarkEnd w:id="12"/>
      <w:bookmarkStart w:id="13" w:name="_Toc139872314"/>
      <w:bookmarkStart w:id="14" w:name="_Toc148535912"/>
      <w:bookmarkStart w:id="15" w:name="_Toc256000014"/>
      <w:r>
        <w:rPr>
          <w:rStyle w:val="8"/>
          <w:rFonts w:hint="eastAsia" w:ascii="宋体" w:hAnsi="宋体" w:cs="宋体"/>
          <w:b/>
          <w:bCs/>
          <w:color w:val="auto"/>
          <w:sz w:val="32"/>
          <w:szCs w:val="32"/>
        </w:rPr>
        <w:t>一、项目概况</w:t>
      </w:r>
      <w:bookmarkEnd w:id="13"/>
      <w:bookmarkEnd w:id="14"/>
      <w:bookmarkEnd w:id="15"/>
    </w:p>
    <w:p w14:paraId="1ECDB618">
      <w:pPr>
        <w:pStyle w:val="9"/>
        <w:keepNext w:val="0"/>
        <w:keepLines w:val="0"/>
        <w:pageBreakBefore w:val="0"/>
        <w:widowControl w:val="0"/>
        <w:kinsoku/>
        <w:wordWrap/>
        <w:overflowPunct/>
        <w:topLinePunct w:val="0"/>
        <w:autoSpaceDE/>
        <w:autoSpaceDN/>
        <w:bidi w:val="0"/>
        <w:adjustRightInd/>
        <w:snapToGrid/>
        <w:spacing w:line="500" w:lineRule="exact"/>
        <w:ind w:firstLine="602"/>
        <w:textAlignment w:val="auto"/>
        <w:rPr>
          <w:rStyle w:val="8"/>
          <w:rFonts w:hint="default" w:ascii="宋体" w:hAnsi="宋体" w:eastAsia="宋体" w:cs="宋体"/>
          <w:b w:val="0"/>
          <w:bCs w:val="0"/>
          <w:color w:val="auto"/>
          <w:sz w:val="24"/>
          <w:szCs w:val="24"/>
          <w:lang w:val="en-US"/>
        </w:rPr>
      </w:pPr>
      <w:bookmarkStart w:id="16" w:name="_Toc139872315"/>
      <w:r>
        <w:rPr>
          <w:rStyle w:val="8"/>
          <w:rFonts w:hint="eastAsia" w:ascii="宋体" w:hAnsi="宋体" w:eastAsia="宋体" w:cs="宋体"/>
          <w:b w:val="0"/>
          <w:bCs w:val="0"/>
          <w:color w:val="auto"/>
          <w:sz w:val="24"/>
          <w:szCs w:val="24"/>
        </w:rPr>
        <w:t>1.项目名称：</w:t>
      </w:r>
      <w:bookmarkEnd w:id="16"/>
      <w:r>
        <w:rPr>
          <w:rFonts w:hint="eastAsia" w:ascii="宋体" w:hAnsi="宋体" w:cs="宋体"/>
          <w:color w:val="auto"/>
          <w:sz w:val="24"/>
          <w:szCs w:val="24"/>
          <w:vertAlign w:val="baseline"/>
          <w:lang w:val="en-US" w:eastAsia="zh-CN"/>
        </w:rPr>
        <w:t>谷城县县域医共体审方中心项目、谷城县县域医共体中心药房项目</w:t>
      </w:r>
    </w:p>
    <w:p w14:paraId="6B36FB4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Style w:val="8"/>
          <w:rFonts w:hint="eastAsia" w:ascii="宋体" w:hAnsi="宋体" w:eastAsia="宋体" w:cs="宋体"/>
          <w:b w:val="0"/>
          <w:bCs w:val="0"/>
          <w:color w:val="auto"/>
          <w:sz w:val="24"/>
          <w:szCs w:val="24"/>
        </w:rPr>
      </w:pPr>
      <w:bookmarkStart w:id="17" w:name="_Toc139872316"/>
      <w:r>
        <w:rPr>
          <w:rStyle w:val="8"/>
          <w:rFonts w:hint="eastAsia" w:ascii="宋体" w:hAnsi="宋体" w:eastAsia="宋体" w:cs="宋体"/>
          <w:b w:val="0"/>
          <w:bCs w:val="0"/>
          <w:color w:val="auto"/>
          <w:sz w:val="24"/>
          <w:szCs w:val="24"/>
        </w:rPr>
        <w:t>2.项目简介</w:t>
      </w:r>
      <w:bookmarkEnd w:id="17"/>
      <w:r>
        <w:rPr>
          <w:rStyle w:val="8"/>
          <w:rFonts w:hint="eastAsia" w:ascii="宋体" w:hAnsi="宋体" w:eastAsia="宋体" w:cs="宋体"/>
          <w:b w:val="0"/>
          <w:bCs w:val="0"/>
          <w:color w:val="auto"/>
          <w:sz w:val="24"/>
          <w:szCs w:val="24"/>
        </w:rPr>
        <w:t>：</w:t>
      </w:r>
      <w:r>
        <w:rPr>
          <w:rStyle w:val="8"/>
          <w:rFonts w:hint="eastAsia" w:cs="宋体"/>
          <w:b w:val="0"/>
          <w:bCs w:val="0"/>
          <w:color w:val="auto"/>
          <w:sz w:val="24"/>
          <w:szCs w:val="24"/>
          <w:lang w:val="en-US" w:eastAsia="zh-CN"/>
        </w:rPr>
        <w:t>谷城县县域</w:t>
      </w:r>
      <w:r>
        <w:rPr>
          <w:rFonts w:hint="eastAsia" w:ascii="宋体" w:hAnsi="宋体" w:eastAsia="宋体" w:cs="宋体"/>
          <w:color w:val="auto"/>
          <w:kern w:val="2"/>
          <w:sz w:val="24"/>
          <w:szCs w:val="24"/>
          <w:vertAlign w:val="baseline"/>
          <w:lang w:val="en-US" w:eastAsia="zh-CN" w:bidi="ar-SA"/>
        </w:rPr>
        <w:t>医共体审方中心</w:t>
      </w:r>
      <w:r>
        <w:rPr>
          <w:rFonts w:hint="eastAsia" w:cs="宋体"/>
          <w:color w:val="auto"/>
          <w:kern w:val="2"/>
          <w:sz w:val="24"/>
          <w:szCs w:val="24"/>
          <w:vertAlign w:val="baseline"/>
          <w:lang w:val="en-US" w:eastAsia="zh-CN" w:bidi="ar-SA"/>
        </w:rPr>
        <w:t>、中心药房</w:t>
      </w:r>
      <w:r>
        <w:rPr>
          <w:rFonts w:hint="eastAsia" w:ascii="宋体" w:hAnsi="宋体" w:eastAsia="宋体" w:cs="宋体"/>
          <w:color w:val="auto"/>
          <w:kern w:val="2"/>
          <w:sz w:val="24"/>
          <w:szCs w:val="24"/>
          <w:vertAlign w:val="baseline"/>
          <w:lang w:val="en-US" w:eastAsia="zh-CN" w:bidi="ar-SA"/>
        </w:rPr>
        <w:t>的建设是实现紧密型县域医共体“县级强、信息通、上下联”的重要环节。通过审方中心的建设实现紧密型医共体内“处方审核标准统一、用药目录统一，药事质控监管统一”。运用最新循证证据，构建集</w:t>
      </w:r>
      <w:r>
        <w:rPr>
          <w:rFonts w:hint="eastAsia" w:cs="宋体"/>
          <w:color w:val="auto"/>
          <w:kern w:val="2"/>
          <w:sz w:val="24"/>
          <w:szCs w:val="24"/>
          <w:vertAlign w:val="baseline"/>
          <w:lang w:val="en-US" w:eastAsia="zh-CN" w:bidi="ar-SA"/>
        </w:rPr>
        <w:t>合理用药监测、药师审方干预</w:t>
      </w:r>
      <w:r>
        <w:rPr>
          <w:rFonts w:hint="eastAsia" w:ascii="宋体" w:hAnsi="宋体" w:eastAsia="宋体" w:cs="宋体"/>
          <w:color w:val="auto"/>
          <w:kern w:val="2"/>
          <w:sz w:val="24"/>
          <w:szCs w:val="24"/>
          <w:vertAlign w:val="baseline"/>
          <w:lang w:val="en-US" w:eastAsia="zh-CN" w:bidi="ar-SA"/>
        </w:rPr>
        <w:t>、</w:t>
      </w:r>
      <w:r>
        <w:rPr>
          <w:rFonts w:hint="eastAsia" w:cs="宋体"/>
          <w:color w:val="auto"/>
          <w:kern w:val="2"/>
          <w:sz w:val="24"/>
          <w:szCs w:val="24"/>
          <w:vertAlign w:val="baseline"/>
          <w:lang w:val="en-US" w:eastAsia="zh-CN" w:bidi="ar-SA"/>
        </w:rPr>
        <w:t>处方点评</w:t>
      </w:r>
      <w:r>
        <w:rPr>
          <w:rFonts w:hint="eastAsia" w:ascii="宋体" w:hAnsi="宋体" w:eastAsia="宋体" w:cs="宋体"/>
          <w:color w:val="auto"/>
          <w:kern w:val="2"/>
          <w:sz w:val="24"/>
          <w:szCs w:val="24"/>
          <w:vertAlign w:val="baseline"/>
          <w:lang w:val="en-US" w:eastAsia="zh-CN" w:bidi="ar-SA"/>
        </w:rPr>
        <w:t>、</w:t>
      </w:r>
      <w:r>
        <w:rPr>
          <w:rFonts w:hint="eastAsia" w:cs="宋体"/>
          <w:color w:val="auto"/>
          <w:kern w:val="2"/>
          <w:sz w:val="24"/>
          <w:szCs w:val="24"/>
          <w:vertAlign w:val="baseline"/>
          <w:lang w:val="en-US" w:eastAsia="zh-CN" w:bidi="ar-SA"/>
        </w:rPr>
        <w:t>药品使用指标分析</w:t>
      </w:r>
      <w:r>
        <w:rPr>
          <w:rFonts w:hint="eastAsia" w:ascii="宋体" w:hAnsi="宋体" w:eastAsia="宋体" w:cs="宋体"/>
          <w:color w:val="auto"/>
          <w:kern w:val="2"/>
          <w:sz w:val="24"/>
          <w:szCs w:val="24"/>
          <w:vertAlign w:val="baseline"/>
          <w:lang w:val="en-US" w:eastAsia="zh-CN" w:bidi="ar-SA"/>
        </w:rPr>
        <w:t>、药学信息在线查询</w:t>
      </w:r>
      <w:r>
        <w:rPr>
          <w:rFonts w:hint="eastAsia" w:cs="宋体"/>
          <w:color w:val="auto"/>
          <w:kern w:val="2"/>
          <w:sz w:val="24"/>
          <w:szCs w:val="24"/>
          <w:vertAlign w:val="baseline"/>
          <w:lang w:val="en-US" w:eastAsia="zh-CN" w:bidi="ar-SA"/>
        </w:rPr>
        <w:t>等</w:t>
      </w:r>
      <w:r>
        <w:rPr>
          <w:rFonts w:hint="eastAsia" w:ascii="宋体" w:hAnsi="宋体" w:eastAsia="宋体" w:cs="宋体"/>
          <w:color w:val="auto"/>
          <w:kern w:val="2"/>
          <w:sz w:val="24"/>
          <w:szCs w:val="24"/>
          <w:vertAlign w:val="baseline"/>
          <w:lang w:val="en-US" w:eastAsia="zh-CN" w:bidi="ar-SA"/>
        </w:rPr>
        <w:t>于一体的区域性合理用药</w:t>
      </w:r>
      <w:r>
        <w:rPr>
          <w:rFonts w:hint="eastAsia" w:cs="宋体"/>
          <w:color w:val="auto"/>
          <w:kern w:val="2"/>
          <w:sz w:val="24"/>
          <w:szCs w:val="24"/>
          <w:vertAlign w:val="baseline"/>
          <w:lang w:val="en-US" w:eastAsia="zh-CN" w:bidi="ar-SA"/>
        </w:rPr>
        <w:t>管理</w:t>
      </w:r>
      <w:r>
        <w:rPr>
          <w:rFonts w:hint="eastAsia" w:ascii="宋体" w:hAnsi="宋体" w:eastAsia="宋体" w:cs="宋体"/>
          <w:color w:val="auto"/>
          <w:kern w:val="2"/>
          <w:sz w:val="24"/>
          <w:szCs w:val="24"/>
          <w:vertAlign w:val="baseline"/>
          <w:lang w:val="en-US" w:eastAsia="zh-CN" w:bidi="ar-SA"/>
        </w:rPr>
        <w:t>平台，从而全面提升区域内基层医疗机构合理用药水平，强化全区</w:t>
      </w:r>
      <w:r>
        <w:rPr>
          <w:rFonts w:hint="eastAsia" w:cs="宋体"/>
          <w:color w:val="auto"/>
          <w:kern w:val="2"/>
          <w:sz w:val="24"/>
          <w:szCs w:val="24"/>
          <w:vertAlign w:val="baseline"/>
          <w:lang w:val="en-US" w:eastAsia="zh-CN" w:bidi="ar-SA"/>
        </w:rPr>
        <w:t>域</w:t>
      </w:r>
      <w:r>
        <w:rPr>
          <w:rFonts w:hint="eastAsia" w:ascii="宋体" w:hAnsi="宋体" w:eastAsia="宋体" w:cs="宋体"/>
          <w:color w:val="auto"/>
          <w:kern w:val="2"/>
          <w:sz w:val="24"/>
          <w:szCs w:val="24"/>
          <w:vertAlign w:val="baseline"/>
          <w:lang w:val="en-US" w:eastAsia="zh-CN" w:bidi="ar-SA"/>
        </w:rPr>
        <w:t>药事质控监管。</w:t>
      </w:r>
      <w:r>
        <w:rPr>
          <w:rFonts w:hint="eastAsia" w:cs="宋体"/>
          <w:color w:val="auto"/>
          <w:kern w:val="2"/>
          <w:sz w:val="24"/>
          <w:szCs w:val="24"/>
          <w:vertAlign w:val="baseline"/>
          <w:lang w:val="en-US" w:eastAsia="zh-CN" w:bidi="ar-SA"/>
        </w:rPr>
        <w:t>通过中心药房的建设，提高</w:t>
      </w:r>
      <w:r>
        <w:rPr>
          <w:rFonts w:hint="eastAsia" w:ascii="宋体" w:hAnsi="宋体" w:eastAsia="宋体" w:cs="宋体"/>
          <w:color w:val="auto"/>
          <w:kern w:val="2"/>
          <w:sz w:val="24"/>
          <w:szCs w:val="24"/>
          <w:vertAlign w:val="baseline"/>
          <w:lang w:val="en-US" w:eastAsia="zh-CN" w:bidi="ar-SA"/>
        </w:rPr>
        <w:t>药品储存分拨、供需对接、余缺调度、近效期处置、缺药登记等服务能力，健全完善基层药品供应配送和调拨调配联动管理机制</w:t>
      </w:r>
      <w:r>
        <w:rPr>
          <w:rFonts w:hint="eastAsia" w:cs="宋体"/>
          <w:color w:val="auto"/>
          <w:kern w:val="2"/>
          <w:sz w:val="24"/>
          <w:szCs w:val="24"/>
          <w:vertAlign w:val="baseline"/>
          <w:lang w:val="en-US" w:eastAsia="zh-CN" w:bidi="ar-SA"/>
        </w:rPr>
        <w:t>。以</w:t>
      </w:r>
      <w:r>
        <w:rPr>
          <w:rFonts w:hint="eastAsia" w:ascii="宋体" w:hAnsi="宋体" w:eastAsia="宋体" w:cs="宋体"/>
          <w:color w:val="auto"/>
          <w:kern w:val="2"/>
          <w:sz w:val="24"/>
          <w:szCs w:val="24"/>
          <w:vertAlign w:val="baseline"/>
          <w:lang w:val="en-US" w:eastAsia="zh-CN" w:bidi="ar-SA"/>
        </w:rPr>
        <w:t>三级医院合理用药管理的标准实现“县、乡、村”合理用药高质量发展，把牢最后的安全关，保障全县患者，尤其是广大农村患者的生命安全。</w:t>
      </w:r>
    </w:p>
    <w:p w14:paraId="45AFADF0">
      <w:pPr>
        <w:pStyle w:val="10"/>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Style w:val="8"/>
          <w:rFonts w:hint="eastAsia" w:ascii="宋体" w:hAnsi="宋体" w:eastAsia="宋体" w:cs="宋体"/>
          <w:b w:val="0"/>
          <w:bCs w:val="0"/>
          <w:color w:val="auto"/>
          <w:sz w:val="24"/>
          <w:szCs w:val="24"/>
          <w:lang w:eastAsia="zh-CN"/>
        </w:rPr>
      </w:pPr>
      <w:r>
        <w:rPr>
          <w:rStyle w:val="8"/>
          <w:rFonts w:hint="eastAsia" w:ascii="宋体" w:hAnsi="宋体" w:eastAsia="宋体" w:cs="宋体"/>
          <w:b w:val="0"/>
          <w:bCs w:val="0"/>
          <w:color w:val="auto"/>
          <w:sz w:val="24"/>
          <w:szCs w:val="24"/>
          <w:lang w:val="en-US" w:eastAsia="zh-CN"/>
        </w:rPr>
        <w:t>3.</w:t>
      </w:r>
      <w:r>
        <w:rPr>
          <w:rStyle w:val="8"/>
          <w:rFonts w:hint="eastAsia" w:ascii="宋体" w:hAnsi="宋体" w:eastAsia="宋体" w:cs="宋体"/>
          <w:b w:val="0"/>
          <w:bCs w:val="0"/>
          <w:color w:val="auto"/>
          <w:sz w:val="24"/>
          <w:szCs w:val="24"/>
          <w:lang w:eastAsia="zh-CN"/>
        </w:rPr>
        <w:t>项目采购预算：总计</w:t>
      </w:r>
      <w:r>
        <w:rPr>
          <w:rStyle w:val="8"/>
          <w:rFonts w:hint="eastAsia" w:ascii="宋体" w:hAnsi="宋体" w:eastAsia="宋体" w:cs="宋体"/>
          <w:b w:val="0"/>
          <w:bCs w:val="0"/>
          <w:color w:val="auto"/>
          <w:sz w:val="24"/>
          <w:szCs w:val="24"/>
          <w:lang w:val="en-US" w:eastAsia="zh-CN"/>
        </w:rPr>
        <w:t>395.00万</w:t>
      </w:r>
      <w:r>
        <w:rPr>
          <w:rStyle w:val="8"/>
          <w:rFonts w:hint="eastAsia" w:ascii="宋体" w:hAnsi="宋体" w:eastAsia="宋体" w:cs="宋体"/>
          <w:b w:val="0"/>
          <w:bCs w:val="0"/>
          <w:color w:val="auto"/>
          <w:sz w:val="24"/>
          <w:szCs w:val="24"/>
          <w:lang w:eastAsia="zh-CN"/>
        </w:rPr>
        <w:t>元。</w:t>
      </w:r>
    </w:p>
    <w:p w14:paraId="74887A94">
      <w:pPr>
        <w:pStyle w:val="10"/>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宋体" w:hAnsi="宋体" w:eastAsia="宋体" w:cs="宋体"/>
          <w:color w:val="auto"/>
          <w:kern w:val="2"/>
          <w:sz w:val="24"/>
          <w:szCs w:val="24"/>
          <w:vertAlign w:val="baseline"/>
          <w:lang w:val="en-US" w:eastAsia="zh-CN" w:bidi="ar-SA"/>
        </w:rPr>
      </w:pPr>
      <w:r>
        <w:rPr>
          <w:rStyle w:val="8"/>
          <w:rFonts w:hint="eastAsia" w:cs="宋体"/>
          <w:b w:val="0"/>
          <w:bCs w:val="0"/>
          <w:color w:val="auto"/>
          <w:sz w:val="24"/>
          <w:szCs w:val="24"/>
          <w:lang w:val="en-US" w:eastAsia="zh-CN"/>
        </w:rPr>
        <w:t>县域</w:t>
      </w:r>
      <w:r>
        <w:rPr>
          <w:rFonts w:hint="eastAsia" w:ascii="宋体" w:hAnsi="宋体" w:eastAsia="宋体" w:cs="宋体"/>
          <w:color w:val="auto"/>
          <w:kern w:val="2"/>
          <w:sz w:val="24"/>
          <w:szCs w:val="24"/>
          <w:vertAlign w:val="baseline"/>
          <w:lang w:val="en-US" w:eastAsia="zh-CN" w:bidi="ar-SA"/>
        </w:rPr>
        <w:t>医共体审方中心   280万元（含硬件）</w:t>
      </w:r>
    </w:p>
    <w:p w14:paraId="2F2C461A">
      <w:pPr>
        <w:pStyle w:val="10"/>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县域医共体中心药房   115万元</w:t>
      </w:r>
    </w:p>
    <w:p w14:paraId="25C82D4C">
      <w:pPr>
        <w:pStyle w:val="9"/>
        <w:spacing w:before="156" w:beforeLines="50" w:after="156" w:afterLines="50" w:line="400" w:lineRule="exact"/>
        <w:ind w:firstLine="643"/>
        <w:outlineLvl w:val="1"/>
        <w:rPr>
          <w:rStyle w:val="8"/>
          <w:rFonts w:hint="eastAsia" w:ascii="宋体" w:hAnsi="宋体" w:cs="宋体"/>
          <w:b/>
          <w:bCs/>
          <w:color w:val="auto"/>
          <w:sz w:val="32"/>
          <w:szCs w:val="32"/>
        </w:rPr>
      </w:pPr>
      <w:bookmarkStart w:id="18" w:name="_Toc139872318"/>
      <w:bookmarkStart w:id="19" w:name="_Toc148535913"/>
      <w:bookmarkStart w:id="20" w:name="_Toc256000015"/>
      <w:r>
        <w:rPr>
          <w:rStyle w:val="8"/>
          <w:rFonts w:hint="eastAsia" w:ascii="宋体" w:hAnsi="宋体" w:cs="宋体"/>
          <w:b/>
          <w:bCs/>
          <w:color w:val="auto"/>
          <w:sz w:val="32"/>
          <w:szCs w:val="32"/>
        </w:rPr>
        <w:t>二、报价要求</w:t>
      </w:r>
      <w:bookmarkEnd w:id="18"/>
      <w:bookmarkEnd w:id="19"/>
      <w:bookmarkEnd w:id="20"/>
    </w:p>
    <w:p w14:paraId="4CEB5301">
      <w:pPr>
        <w:bidi w:val="0"/>
        <w:ind w:firstLine="480" w:firstLineChars="200"/>
        <w:rPr>
          <w:rFonts w:hint="eastAsia" w:ascii="宋体" w:hAnsi="宋体" w:eastAsia="宋体" w:cs="宋体"/>
          <w:color w:val="auto"/>
          <w:kern w:val="2"/>
          <w:sz w:val="24"/>
          <w:szCs w:val="24"/>
          <w:vertAlign w:val="baseline"/>
          <w:lang w:val="en-US" w:eastAsia="zh-CN" w:bidi="ar-SA"/>
        </w:rPr>
      </w:pPr>
      <w:bookmarkStart w:id="21" w:name="_Toc139872320"/>
      <w:r>
        <w:rPr>
          <w:rFonts w:hint="eastAsia" w:ascii="宋体" w:hAnsi="宋体" w:eastAsia="宋体" w:cs="宋体"/>
          <w:color w:val="auto"/>
          <w:kern w:val="2"/>
          <w:sz w:val="24"/>
          <w:szCs w:val="24"/>
          <w:vertAlign w:val="baseline"/>
          <w:lang w:val="en-US" w:eastAsia="zh-CN" w:bidi="ar-SA"/>
        </w:rPr>
        <w:t>本次采购报价应包含：医共体区域审方中心</w:t>
      </w:r>
      <w:r>
        <w:rPr>
          <w:rFonts w:hint="eastAsia" w:cs="宋体"/>
          <w:color w:val="auto"/>
          <w:kern w:val="2"/>
          <w:sz w:val="24"/>
          <w:szCs w:val="24"/>
          <w:vertAlign w:val="baseline"/>
          <w:lang w:val="en-US" w:eastAsia="zh-CN" w:bidi="ar-SA"/>
        </w:rPr>
        <w:t>开发服务、中心药房软件</w:t>
      </w:r>
      <w:r>
        <w:rPr>
          <w:rFonts w:hint="eastAsia" w:ascii="宋体" w:hAnsi="宋体" w:eastAsia="宋体" w:cs="宋体"/>
          <w:color w:val="auto"/>
          <w:kern w:val="2"/>
          <w:sz w:val="24"/>
          <w:szCs w:val="24"/>
          <w:vertAlign w:val="baseline"/>
          <w:lang w:val="en-US" w:eastAsia="zh-CN" w:bidi="ar-SA"/>
        </w:rPr>
        <w:t>开发服务、</w:t>
      </w:r>
      <w:r>
        <w:rPr>
          <w:rFonts w:hint="eastAsia" w:cs="宋体"/>
          <w:color w:val="auto"/>
          <w:kern w:val="2"/>
          <w:sz w:val="24"/>
          <w:szCs w:val="24"/>
          <w:vertAlign w:val="baseline"/>
          <w:lang w:val="en-US" w:eastAsia="zh-CN" w:bidi="ar-SA"/>
        </w:rPr>
        <w:t>硬件设施、</w:t>
      </w:r>
      <w:r>
        <w:rPr>
          <w:rFonts w:hint="eastAsia" w:ascii="宋体" w:hAnsi="宋体" w:eastAsia="宋体" w:cs="宋体"/>
          <w:color w:val="auto"/>
          <w:kern w:val="2"/>
          <w:sz w:val="24"/>
          <w:szCs w:val="24"/>
          <w:vertAlign w:val="baseline"/>
          <w:lang w:val="en-US" w:eastAsia="zh-CN" w:bidi="ar-SA"/>
        </w:rPr>
        <w:t>平台搭建服务、系统集成、HIS接口等费用。</w:t>
      </w:r>
      <w:bookmarkEnd w:id="21"/>
    </w:p>
    <w:p w14:paraId="61CFB178">
      <w:pPr>
        <w:pStyle w:val="9"/>
        <w:spacing w:before="156" w:beforeLines="50" w:after="156" w:afterLines="50" w:line="400" w:lineRule="exact"/>
        <w:ind w:firstLine="643"/>
        <w:outlineLvl w:val="1"/>
        <w:rPr>
          <w:rStyle w:val="8"/>
          <w:rFonts w:hint="eastAsia" w:ascii="宋体" w:hAnsi="宋体" w:cs="宋体"/>
          <w:b/>
          <w:bCs/>
          <w:color w:val="auto"/>
          <w:sz w:val="32"/>
          <w:szCs w:val="32"/>
        </w:rPr>
      </w:pPr>
      <w:bookmarkStart w:id="22" w:name="_Toc148535914"/>
      <w:bookmarkStart w:id="23" w:name="_Toc139872321"/>
      <w:bookmarkStart w:id="24" w:name="_Toc256000016"/>
      <w:r>
        <w:rPr>
          <w:rStyle w:val="8"/>
          <w:rFonts w:hint="eastAsia" w:ascii="宋体" w:hAnsi="宋体" w:cs="宋体"/>
          <w:b/>
          <w:bCs/>
          <w:color w:val="auto"/>
          <w:sz w:val="32"/>
          <w:szCs w:val="32"/>
          <w:lang w:eastAsia="zh-CN"/>
        </w:rPr>
        <w:t>三、</w:t>
      </w:r>
      <w:r>
        <w:rPr>
          <w:rStyle w:val="8"/>
          <w:rFonts w:hint="eastAsia" w:ascii="宋体" w:hAnsi="宋体" w:cs="宋体"/>
          <w:b/>
          <w:bCs/>
          <w:color w:val="auto"/>
          <w:sz w:val="32"/>
          <w:szCs w:val="32"/>
        </w:rPr>
        <w:t>采购清单及相关要求</w:t>
      </w:r>
      <w:bookmarkEnd w:id="22"/>
      <w:bookmarkEnd w:id="23"/>
      <w:bookmarkEnd w:id="24"/>
    </w:p>
    <w:p w14:paraId="07023C95">
      <w:pPr>
        <w:pStyle w:val="9"/>
        <w:ind w:firstLine="602"/>
        <w:outlineLvl w:val="2"/>
        <w:rPr>
          <w:rStyle w:val="8"/>
          <w:rFonts w:hint="eastAsia" w:ascii="仿宋_GB2312" w:hAnsi="仿宋_GB2312" w:eastAsia="仿宋_GB2312" w:cs="仿宋_GB2312"/>
          <w:b/>
          <w:bCs/>
          <w:color w:val="auto"/>
          <w:sz w:val="30"/>
          <w:szCs w:val="30"/>
          <w:lang w:val="en-US" w:eastAsia="zh-CN"/>
        </w:rPr>
      </w:pPr>
      <w:r>
        <w:rPr>
          <w:rFonts w:hint="eastAsia" w:ascii="宋体" w:hAnsi="宋体" w:cs="宋体"/>
          <w:color w:val="auto"/>
          <w:sz w:val="24"/>
          <w:szCs w:val="24"/>
          <w:vertAlign w:val="baseline"/>
          <w:lang w:val="en-US" w:eastAsia="zh-CN"/>
        </w:rPr>
        <w:t>（一）县域医共体审方中心系统</w:t>
      </w:r>
    </w:p>
    <w:p w14:paraId="62022B3E">
      <w:pPr>
        <w:pStyle w:val="9"/>
        <w:ind w:firstLine="602"/>
        <w:outlineLvl w:val="2"/>
        <w:rPr>
          <w:rStyle w:val="8"/>
          <w:rFonts w:hint="default" w:ascii="仿宋_GB2312" w:hAnsi="仿宋_GB2312" w:eastAsia="仿宋_GB2312" w:cs="仿宋_GB2312"/>
          <w:b/>
          <w:bCs/>
          <w:color w:val="auto"/>
          <w:sz w:val="30"/>
          <w:szCs w:val="30"/>
          <w:lang w:val="en-US" w:eastAsia="zh-CN"/>
        </w:rPr>
      </w:pPr>
      <w:r>
        <w:rPr>
          <w:rStyle w:val="8"/>
          <w:rFonts w:hint="eastAsia" w:ascii="仿宋_GB2312" w:hAnsi="仿宋_GB2312" w:eastAsia="仿宋_GB2312" w:cs="仿宋_GB2312"/>
          <w:b/>
          <w:bCs/>
          <w:color w:val="auto"/>
          <w:sz w:val="30"/>
          <w:szCs w:val="30"/>
          <w:lang w:val="en-US" w:eastAsia="zh-CN"/>
        </w:rPr>
        <w:t>1.</w:t>
      </w:r>
      <w:r>
        <w:rPr>
          <w:rStyle w:val="8"/>
          <w:rFonts w:hint="eastAsia" w:ascii="仿宋_GB2312" w:hAnsi="仿宋_GB2312" w:eastAsia="仿宋_GB2312" w:cs="仿宋_GB2312"/>
          <w:b/>
          <w:bCs/>
          <w:color w:val="auto"/>
          <w:sz w:val="30"/>
          <w:szCs w:val="30"/>
        </w:rPr>
        <w:t>采购清单</w:t>
      </w:r>
    </w:p>
    <w:tbl>
      <w:tblPr>
        <w:tblStyle w:val="7"/>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3616"/>
        <w:gridCol w:w="1465"/>
        <w:gridCol w:w="1241"/>
        <w:gridCol w:w="1237"/>
      </w:tblGrid>
      <w:tr w14:paraId="4F60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960" w:type="dxa"/>
            <w:vAlign w:val="center"/>
          </w:tcPr>
          <w:p w14:paraId="0740590B">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序号</w:t>
            </w:r>
          </w:p>
        </w:tc>
        <w:tc>
          <w:tcPr>
            <w:tcW w:w="3616" w:type="dxa"/>
            <w:vAlign w:val="center"/>
          </w:tcPr>
          <w:p w14:paraId="62252C07">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名</w:t>
            </w:r>
            <w:r>
              <w:rPr>
                <w:rFonts w:hint="eastAsia" w:ascii="宋体" w:hAnsi="宋体" w:eastAsia="宋体" w:cs="宋体"/>
                <w:color w:val="auto"/>
                <w:sz w:val="24"/>
                <w:szCs w:val="24"/>
                <w:vertAlign w:val="baseline"/>
                <w:lang w:val="en-US" w:eastAsia="zh-CN"/>
              </w:rPr>
              <w:t xml:space="preserve">     </w:t>
            </w:r>
            <w:r>
              <w:rPr>
                <w:rFonts w:hint="eastAsia" w:ascii="宋体" w:hAnsi="宋体" w:eastAsia="宋体" w:cs="宋体"/>
                <w:color w:val="auto"/>
                <w:sz w:val="24"/>
                <w:szCs w:val="24"/>
                <w:vertAlign w:val="baseline"/>
                <w:lang w:eastAsia="zh-CN"/>
              </w:rPr>
              <w:t>称</w:t>
            </w:r>
          </w:p>
        </w:tc>
        <w:tc>
          <w:tcPr>
            <w:tcW w:w="1465" w:type="dxa"/>
            <w:vAlign w:val="center"/>
          </w:tcPr>
          <w:p w14:paraId="5660EDBC">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数量</w:t>
            </w:r>
          </w:p>
        </w:tc>
        <w:tc>
          <w:tcPr>
            <w:tcW w:w="1241" w:type="dxa"/>
            <w:vAlign w:val="center"/>
          </w:tcPr>
          <w:p w14:paraId="75DDF4CF">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单位</w:t>
            </w:r>
          </w:p>
        </w:tc>
        <w:tc>
          <w:tcPr>
            <w:tcW w:w="1237" w:type="dxa"/>
            <w:vAlign w:val="center"/>
          </w:tcPr>
          <w:p w14:paraId="3F0C59FC">
            <w:pPr>
              <w:jc w:val="center"/>
              <w:rPr>
                <w:rFonts w:hint="eastAsia" w:ascii="宋体" w:hAnsi="宋体" w:eastAsia="宋体" w:cs="宋体"/>
                <w:color w:val="auto"/>
                <w:sz w:val="24"/>
                <w:szCs w:val="24"/>
                <w:vertAlign w:val="baseline"/>
                <w:lang w:eastAsia="zh-CN"/>
              </w:rPr>
            </w:pPr>
            <w:r>
              <w:rPr>
                <w:rFonts w:hint="eastAsia" w:cs="宋体"/>
                <w:color w:val="auto"/>
                <w:sz w:val="24"/>
                <w:szCs w:val="24"/>
                <w:vertAlign w:val="baseline"/>
                <w:lang w:eastAsia="zh-CN"/>
              </w:rPr>
              <w:t>报价</w:t>
            </w:r>
          </w:p>
        </w:tc>
      </w:tr>
      <w:tr w14:paraId="0E60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60" w:type="dxa"/>
            <w:vAlign w:val="center"/>
          </w:tcPr>
          <w:p w14:paraId="698E6E92">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3616" w:type="dxa"/>
            <w:vAlign w:val="center"/>
          </w:tcPr>
          <w:p w14:paraId="3B4960AD">
            <w:pPr>
              <w:pStyle w:val="9"/>
              <w:spacing w:line="360" w:lineRule="exact"/>
              <w:ind w:left="0" w:leftChars="0" w:firstLine="0" w:firstLineChars="0"/>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谷城县县域医共体审方中心系统</w:t>
            </w:r>
          </w:p>
        </w:tc>
        <w:tc>
          <w:tcPr>
            <w:tcW w:w="1465" w:type="dxa"/>
            <w:vAlign w:val="center"/>
          </w:tcPr>
          <w:p w14:paraId="7A3489F4">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241" w:type="dxa"/>
            <w:vAlign w:val="center"/>
          </w:tcPr>
          <w:p w14:paraId="65B30D32">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项</w:t>
            </w:r>
          </w:p>
        </w:tc>
        <w:tc>
          <w:tcPr>
            <w:tcW w:w="1237" w:type="dxa"/>
            <w:vAlign w:val="center"/>
          </w:tcPr>
          <w:p w14:paraId="44723483">
            <w:pPr>
              <w:jc w:val="center"/>
              <w:rPr>
                <w:rFonts w:hint="eastAsia" w:ascii="宋体" w:hAnsi="宋体" w:eastAsia="宋体" w:cs="宋体"/>
                <w:color w:val="auto"/>
                <w:sz w:val="24"/>
                <w:szCs w:val="24"/>
                <w:vertAlign w:val="baseline"/>
                <w:lang w:val="en-US" w:eastAsia="zh-CN"/>
              </w:rPr>
            </w:pPr>
          </w:p>
        </w:tc>
      </w:tr>
      <w:tr w14:paraId="78B6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60" w:type="dxa"/>
            <w:vAlign w:val="center"/>
          </w:tcPr>
          <w:p w14:paraId="0C776259">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3616" w:type="dxa"/>
            <w:vAlign w:val="center"/>
          </w:tcPr>
          <w:p w14:paraId="3E73D38C">
            <w:pPr>
              <w:pStyle w:val="9"/>
              <w:spacing w:line="360" w:lineRule="exact"/>
              <w:ind w:left="0" w:leftChars="0" w:firstLine="0" w:firstLineChars="0"/>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医共体内医疗机构系统对接</w:t>
            </w:r>
          </w:p>
        </w:tc>
        <w:tc>
          <w:tcPr>
            <w:tcW w:w="1465" w:type="dxa"/>
            <w:vAlign w:val="center"/>
          </w:tcPr>
          <w:p w14:paraId="7290450E">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241" w:type="dxa"/>
            <w:vAlign w:val="center"/>
          </w:tcPr>
          <w:p w14:paraId="0D2E0CFC">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c>
          <w:tcPr>
            <w:tcW w:w="1237" w:type="dxa"/>
            <w:vAlign w:val="center"/>
          </w:tcPr>
          <w:p w14:paraId="0222C1B4">
            <w:pPr>
              <w:jc w:val="center"/>
              <w:rPr>
                <w:rFonts w:hint="eastAsia" w:ascii="宋体" w:hAnsi="宋体" w:eastAsia="宋体" w:cs="宋体"/>
                <w:color w:val="auto"/>
                <w:sz w:val="24"/>
                <w:szCs w:val="24"/>
                <w:vertAlign w:val="baseline"/>
                <w:lang w:val="en-US" w:eastAsia="zh-CN"/>
              </w:rPr>
            </w:pPr>
          </w:p>
        </w:tc>
      </w:tr>
      <w:tr w14:paraId="3F49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60" w:type="dxa"/>
            <w:vAlign w:val="center"/>
          </w:tcPr>
          <w:p w14:paraId="292E75A0">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3616" w:type="dxa"/>
            <w:vAlign w:val="center"/>
          </w:tcPr>
          <w:p w14:paraId="429E943C">
            <w:pPr>
              <w:pStyle w:val="9"/>
              <w:spacing w:line="360" w:lineRule="exact"/>
              <w:ind w:left="0" w:leftChars="0" w:firstLine="0" w:firstLineChars="0"/>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硬件</w:t>
            </w:r>
          </w:p>
        </w:tc>
        <w:tc>
          <w:tcPr>
            <w:tcW w:w="1465" w:type="dxa"/>
            <w:vAlign w:val="center"/>
          </w:tcPr>
          <w:p w14:paraId="10B99657">
            <w:pPr>
              <w:jc w:val="center"/>
              <w:rPr>
                <w:rFonts w:hint="eastAsia" w:ascii="宋体" w:hAnsi="宋体" w:eastAsia="宋体" w:cs="宋体"/>
                <w:color w:val="auto"/>
                <w:sz w:val="24"/>
                <w:szCs w:val="24"/>
                <w:vertAlign w:val="baseline"/>
                <w:lang w:val="en-US" w:eastAsia="zh-CN"/>
              </w:rPr>
            </w:pPr>
          </w:p>
        </w:tc>
        <w:tc>
          <w:tcPr>
            <w:tcW w:w="1241" w:type="dxa"/>
            <w:vAlign w:val="center"/>
          </w:tcPr>
          <w:p w14:paraId="2D16B17F">
            <w:pPr>
              <w:jc w:val="center"/>
              <w:rPr>
                <w:rFonts w:hint="eastAsia" w:ascii="宋体" w:hAnsi="宋体" w:eastAsia="宋体" w:cs="宋体"/>
                <w:color w:val="auto"/>
                <w:sz w:val="24"/>
                <w:szCs w:val="24"/>
                <w:vertAlign w:val="baseline"/>
                <w:lang w:val="en-US" w:eastAsia="zh-CN"/>
              </w:rPr>
            </w:pPr>
          </w:p>
        </w:tc>
        <w:tc>
          <w:tcPr>
            <w:tcW w:w="1237" w:type="dxa"/>
            <w:vAlign w:val="center"/>
          </w:tcPr>
          <w:p w14:paraId="1387EA1F">
            <w:pPr>
              <w:jc w:val="center"/>
              <w:rPr>
                <w:rFonts w:hint="eastAsia" w:ascii="宋体" w:hAnsi="宋体" w:eastAsia="宋体" w:cs="宋体"/>
                <w:color w:val="auto"/>
                <w:sz w:val="24"/>
                <w:szCs w:val="24"/>
                <w:vertAlign w:val="baseline"/>
                <w:lang w:val="en-US" w:eastAsia="zh-CN"/>
              </w:rPr>
            </w:pPr>
          </w:p>
        </w:tc>
      </w:tr>
      <w:tr w14:paraId="0FAF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60" w:type="dxa"/>
            <w:vAlign w:val="center"/>
          </w:tcPr>
          <w:p w14:paraId="7B5ED1A6">
            <w:pPr>
              <w:jc w:val="center"/>
              <w:rPr>
                <w:rFonts w:hint="eastAsia" w:ascii="宋体" w:hAnsi="宋体" w:eastAsia="宋体" w:cs="宋体"/>
                <w:color w:val="auto"/>
                <w:sz w:val="24"/>
                <w:szCs w:val="24"/>
                <w:vertAlign w:val="baseline"/>
                <w:lang w:val="en-US" w:eastAsia="zh-CN"/>
              </w:rPr>
            </w:pPr>
            <w:r>
              <w:rPr>
                <w:rFonts w:hint="eastAsia" w:cs="宋体"/>
                <w:color w:val="auto"/>
                <w:sz w:val="24"/>
                <w:szCs w:val="24"/>
                <w:vertAlign w:val="baseline"/>
                <w:lang w:val="en-US" w:eastAsia="zh-CN"/>
              </w:rPr>
              <w:t>3.1</w:t>
            </w:r>
          </w:p>
        </w:tc>
        <w:tc>
          <w:tcPr>
            <w:tcW w:w="3616" w:type="dxa"/>
            <w:vAlign w:val="center"/>
          </w:tcPr>
          <w:p w14:paraId="0E77FE6E">
            <w:pPr>
              <w:pStyle w:val="9"/>
              <w:spacing w:line="360" w:lineRule="exact"/>
              <w:ind w:left="0" w:leftChars="0" w:firstLine="0" w:firstLineChars="0"/>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服务器</w:t>
            </w:r>
          </w:p>
        </w:tc>
        <w:tc>
          <w:tcPr>
            <w:tcW w:w="1465" w:type="dxa"/>
            <w:vAlign w:val="center"/>
          </w:tcPr>
          <w:p w14:paraId="16F15141">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1241" w:type="dxa"/>
            <w:vAlign w:val="center"/>
          </w:tcPr>
          <w:p w14:paraId="76A13898">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c>
          <w:tcPr>
            <w:tcW w:w="1237" w:type="dxa"/>
            <w:vAlign w:val="center"/>
          </w:tcPr>
          <w:p w14:paraId="5104A8CD">
            <w:pPr>
              <w:jc w:val="center"/>
              <w:rPr>
                <w:rFonts w:hint="eastAsia" w:ascii="宋体" w:hAnsi="宋体" w:eastAsia="宋体" w:cs="宋体"/>
                <w:color w:val="auto"/>
                <w:sz w:val="24"/>
                <w:szCs w:val="24"/>
                <w:vertAlign w:val="baseline"/>
                <w:lang w:val="en-US" w:eastAsia="zh-CN"/>
              </w:rPr>
            </w:pPr>
          </w:p>
        </w:tc>
      </w:tr>
      <w:tr w14:paraId="4683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60" w:type="dxa"/>
            <w:vAlign w:val="center"/>
          </w:tcPr>
          <w:p w14:paraId="7D04A088">
            <w:pPr>
              <w:jc w:val="center"/>
              <w:rPr>
                <w:rFonts w:hint="eastAsia" w:ascii="宋体" w:hAnsi="宋体" w:eastAsia="宋体" w:cs="宋体"/>
                <w:color w:val="auto"/>
                <w:sz w:val="24"/>
                <w:szCs w:val="24"/>
                <w:vertAlign w:val="baseline"/>
                <w:lang w:val="en-US" w:eastAsia="zh-CN"/>
              </w:rPr>
            </w:pPr>
            <w:r>
              <w:rPr>
                <w:rFonts w:hint="eastAsia" w:cs="宋体"/>
                <w:color w:val="auto"/>
                <w:sz w:val="24"/>
                <w:szCs w:val="24"/>
                <w:vertAlign w:val="baseline"/>
                <w:lang w:val="en-US" w:eastAsia="zh-CN"/>
              </w:rPr>
              <w:t>3.2</w:t>
            </w:r>
          </w:p>
        </w:tc>
        <w:tc>
          <w:tcPr>
            <w:tcW w:w="3616" w:type="dxa"/>
            <w:vAlign w:val="center"/>
          </w:tcPr>
          <w:p w14:paraId="4ED5D9D5">
            <w:pPr>
              <w:pStyle w:val="9"/>
              <w:spacing w:line="360" w:lineRule="exact"/>
              <w:ind w:left="0" w:leftChars="0" w:firstLine="0" w:firstLineChars="0"/>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超融合软件</w:t>
            </w:r>
          </w:p>
        </w:tc>
        <w:tc>
          <w:tcPr>
            <w:tcW w:w="1465" w:type="dxa"/>
            <w:vAlign w:val="center"/>
          </w:tcPr>
          <w:p w14:paraId="630B0E4B">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241" w:type="dxa"/>
            <w:vAlign w:val="center"/>
          </w:tcPr>
          <w:p w14:paraId="4D7475CF">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c>
          <w:tcPr>
            <w:tcW w:w="1237" w:type="dxa"/>
            <w:vAlign w:val="center"/>
          </w:tcPr>
          <w:p w14:paraId="226BCA27">
            <w:pPr>
              <w:jc w:val="center"/>
              <w:rPr>
                <w:rFonts w:hint="eastAsia" w:ascii="宋体" w:hAnsi="宋体" w:eastAsia="宋体" w:cs="宋体"/>
                <w:color w:val="auto"/>
                <w:sz w:val="24"/>
                <w:szCs w:val="24"/>
                <w:vertAlign w:val="baseline"/>
                <w:lang w:val="en-US" w:eastAsia="zh-CN"/>
              </w:rPr>
            </w:pPr>
          </w:p>
        </w:tc>
      </w:tr>
      <w:tr w14:paraId="4B6D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60" w:type="dxa"/>
            <w:vAlign w:val="center"/>
          </w:tcPr>
          <w:p w14:paraId="0D88045E">
            <w:pPr>
              <w:jc w:val="center"/>
              <w:rPr>
                <w:rFonts w:hint="eastAsia" w:ascii="宋体" w:hAnsi="宋体" w:eastAsia="宋体" w:cs="宋体"/>
                <w:color w:val="auto"/>
                <w:sz w:val="24"/>
                <w:szCs w:val="24"/>
                <w:vertAlign w:val="baseline"/>
                <w:lang w:val="en-US" w:eastAsia="zh-CN"/>
              </w:rPr>
            </w:pPr>
            <w:r>
              <w:rPr>
                <w:rFonts w:hint="eastAsia" w:cs="宋体"/>
                <w:color w:val="auto"/>
                <w:sz w:val="24"/>
                <w:szCs w:val="24"/>
                <w:vertAlign w:val="baseline"/>
                <w:lang w:val="en-US" w:eastAsia="zh-CN"/>
              </w:rPr>
              <w:t>3.3</w:t>
            </w:r>
          </w:p>
        </w:tc>
        <w:tc>
          <w:tcPr>
            <w:tcW w:w="3616" w:type="dxa"/>
            <w:vAlign w:val="center"/>
          </w:tcPr>
          <w:p w14:paraId="64903767">
            <w:pPr>
              <w:pStyle w:val="9"/>
              <w:spacing w:line="360" w:lineRule="exact"/>
              <w:ind w:left="0" w:leftChars="0" w:firstLine="0" w:firstLineChars="0"/>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防火墙</w:t>
            </w:r>
          </w:p>
        </w:tc>
        <w:tc>
          <w:tcPr>
            <w:tcW w:w="1465" w:type="dxa"/>
            <w:vAlign w:val="center"/>
          </w:tcPr>
          <w:p w14:paraId="3E9844A4">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241" w:type="dxa"/>
            <w:vAlign w:val="center"/>
          </w:tcPr>
          <w:p w14:paraId="4FA577B6">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c>
          <w:tcPr>
            <w:tcW w:w="1237" w:type="dxa"/>
            <w:vAlign w:val="center"/>
          </w:tcPr>
          <w:p w14:paraId="11099E96">
            <w:pPr>
              <w:jc w:val="center"/>
              <w:rPr>
                <w:rFonts w:hint="eastAsia" w:ascii="宋体" w:hAnsi="宋体" w:eastAsia="宋体" w:cs="宋体"/>
                <w:color w:val="auto"/>
                <w:sz w:val="24"/>
                <w:szCs w:val="24"/>
                <w:vertAlign w:val="baseline"/>
                <w:lang w:val="en-US" w:eastAsia="zh-CN"/>
              </w:rPr>
            </w:pPr>
          </w:p>
        </w:tc>
      </w:tr>
      <w:tr w14:paraId="0BAA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60" w:type="dxa"/>
            <w:vAlign w:val="center"/>
          </w:tcPr>
          <w:p w14:paraId="139BAD5D">
            <w:pPr>
              <w:jc w:val="center"/>
              <w:rPr>
                <w:rFonts w:hint="eastAsia" w:ascii="宋体" w:hAnsi="宋体" w:eastAsia="宋体" w:cs="宋体"/>
                <w:color w:val="auto"/>
                <w:sz w:val="24"/>
                <w:szCs w:val="24"/>
                <w:vertAlign w:val="baseline"/>
                <w:lang w:val="en-US" w:eastAsia="zh-CN"/>
              </w:rPr>
            </w:pPr>
            <w:r>
              <w:rPr>
                <w:rFonts w:hint="eastAsia" w:cs="宋体"/>
                <w:color w:val="auto"/>
                <w:sz w:val="24"/>
                <w:szCs w:val="24"/>
                <w:vertAlign w:val="baseline"/>
                <w:lang w:val="en-US" w:eastAsia="zh-CN"/>
              </w:rPr>
              <w:t>3.4</w:t>
            </w:r>
          </w:p>
        </w:tc>
        <w:tc>
          <w:tcPr>
            <w:tcW w:w="3616" w:type="dxa"/>
            <w:vAlign w:val="center"/>
          </w:tcPr>
          <w:p w14:paraId="74D45137">
            <w:pPr>
              <w:pStyle w:val="9"/>
              <w:spacing w:line="360" w:lineRule="exact"/>
              <w:ind w:left="0" w:leftChars="0" w:firstLine="0" w:firstLineChars="0"/>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汇聚交换机</w:t>
            </w:r>
          </w:p>
        </w:tc>
        <w:tc>
          <w:tcPr>
            <w:tcW w:w="1465" w:type="dxa"/>
            <w:vAlign w:val="center"/>
          </w:tcPr>
          <w:p w14:paraId="625F4C8D">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1241" w:type="dxa"/>
            <w:vAlign w:val="center"/>
          </w:tcPr>
          <w:p w14:paraId="381FD56D">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个</w:t>
            </w:r>
          </w:p>
        </w:tc>
        <w:tc>
          <w:tcPr>
            <w:tcW w:w="1237" w:type="dxa"/>
            <w:vAlign w:val="center"/>
          </w:tcPr>
          <w:p w14:paraId="07DA0820">
            <w:pPr>
              <w:jc w:val="center"/>
              <w:rPr>
                <w:rFonts w:hint="eastAsia" w:ascii="宋体" w:hAnsi="宋体" w:eastAsia="宋体" w:cs="宋体"/>
                <w:color w:val="auto"/>
                <w:sz w:val="24"/>
                <w:szCs w:val="24"/>
                <w:vertAlign w:val="baseline"/>
                <w:lang w:val="en-US" w:eastAsia="zh-CN"/>
              </w:rPr>
            </w:pPr>
          </w:p>
        </w:tc>
      </w:tr>
      <w:tr w14:paraId="4C44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60" w:type="dxa"/>
            <w:vAlign w:val="center"/>
          </w:tcPr>
          <w:p w14:paraId="5FB37D0B">
            <w:pPr>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3.5</w:t>
            </w:r>
          </w:p>
        </w:tc>
        <w:tc>
          <w:tcPr>
            <w:tcW w:w="3616" w:type="dxa"/>
            <w:vAlign w:val="center"/>
          </w:tcPr>
          <w:p w14:paraId="75DAEB46">
            <w:pPr>
              <w:pStyle w:val="9"/>
              <w:spacing w:line="360" w:lineRule="exact"/>
              <w:ind w:left="0" w:leftChars="0" w:firstLine="0" w:firstLineChars="0"/>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卫生专线</w:t>
            </w:r>
          </w:p>
        </w:tc>
        <w:tc>
          <w:tcPr>
            <w:tcW w:w="1465" w:type="dxa"/>
            <w:vAlign w:val="center"/>
          </w:tcPr>
          <w:p w14:paraId="4E8550D3">
            <w:pPr>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1</w:t>
            </w:r>
          </w:p>
        </w:tc>
        <w:tc>
          <w:tcPr>
            <w:tcW w:w="1241" w:type="dxa"/>
            <w:vAlign w:val="center"/>
          </w:tcPr>
          <w:p w14:paraId="51B4B81D">
            <w:pPr>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条</w:t>
            </w:r>
          </w:p>
        </w:tc>
        <w:tc>
          <w:tcPr>
            <w:tcW w:w="1237" w:type="dxa"/>
            <w:vAlign w:val="center"/>
          </w:tcPr>
          <w:p w14:paraId="70BC1021">
            <w:pPr>
              <w:jc w:val="center"/>
              <w:rPr>
                <w:rFonts w:hint="eastAsia" w:ascii="宋体" w:hAnsi="宋体" w:eastAsia="宋体" w:cs="宋体"/>
                <w:color w:val="auto"/>
                <w:kern w:val="2"/>
                <w:sz w:val="24"/>
                <w:szCs w:val="24"/>
                <w:vertAlign w:val="baseline"/>
                <w:lang w:val="en-US" w:eastAsia="zh-CN" w:bidi="ar-SA"/>
              </w:rPr>
            </w:pPr>
          </w:p>
        </w:tc>
      </w:tr>
      <w:tr w14:paraId="1533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60" w:type="dxa"/>
            <w:vAlign w:val="center"/>
          </w:tcPr>
          <w:p w14:paraId="605E4FE0">
            <w:pPr>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3.6</w:t>
            </w:r>
          </w:p>
        </w:tc>
        <w:tc>
          <w:tcPr>
            <w:tcW w:w="3616" w:type="dxa"/>
            <w:vAlign w:val="center"/>
          </w:tcPr>
          <w:p w14:paraId="5C18DE9E">
            <w:pPr>
              <w:pStyle w:val="9"/>
              <w:spacing w:line="360" w:lineRule="exact"/>
              <w:ind w:left="0" w:leftChars="0" w:firstLine="0" w:firstLineChars="0"/>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配套（电脑、电视大屏、打印机）</w:t>
            </w:r>
          </w:p>
        </w:tc>
        <w:tc>
          <w:tcPr>
            <w:tcW w:w="1465" w:type="dxa"/>
            <w:vAlign w:val="center"/>
          </w:tcPr>
          <w:p w14:paraId="5E816368">
            <w:pPr>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1</w:t>
            </w:r>
          </w:p>
        </w:tc>
        <w:tc>
          <w:tcPr>
            <w:tcW w:w="1241" w:type="dxa"/>
            <w:vAlign w:val="center"/>
          </w:tcPr>
          <w:p w14:paraId="15C4804D">
            <w:pPr>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套</w:t>
            </w:r>
          </w:p>
        </w:tc>
        <w:tc>
          <w:tcPr>
            <w:tcW w:w="1237" w:type="dxa"/>
            <w:vAlign w:val="center"/>
          </w:tcPr>
          <w:p w14:paraId="6BF3A564">
            <w:pPr>
              <w:jc w:val="center"/>
              <w:rPr>
                <w:rFonts w:hint="eastAsia" w:ascii="宋体" w:hAnsi="宋体" w:eastAsia="宋体" w:cs="宋体"/>
                <w:color w:val="auto"/>
                <w:kern w:val="2"/>
                <w:sz w:val="24"/>
                <w:szCs w:val="24"/>
                <w:vertAlign w:val="baseline"/>
                <w:lang w:val="en-US" w:eastAsia="zh-CN" w:bidi="ar-SA"/>
              </w:rPr>
            </w:pPr>
          </w:p>
        </w:tc>
      </w:tr>
    </w:tbl>
    <w:p w14:paraId="226A326E">
      <w:pPr>
        <w:pStyle w:val="9"/>
        <w:bidi w:val="0"/>
        <w:rPr>
          <w:rFonts w:hint="eastAsia" w:ascii="宋体" w:hAnsi="宋体" w:eastAsia="宋体" w:cs="宋体"/>
          <w:color w:val="auto"/>
          <w:kern w:val="2"/>
          <w:sz w:val="24"/>
          <w:szCs w:val="24"/>
          <w:vertAlign w:val="baseline"/>
          <w:lang w:val="en-US" w:eastAsia="zh-CN" w:bidi="ar-SA"/>
        </w:rPr>
      </w:pPr>
    </w:p>
    <w:p w14:paraId="6482EAA7">
      <w:pPr>
        <w:pStyle w:val="9"/>
        <w:ind w:firstLine="602"/>
        <w:outlineLvl w:val="2"/>
        <w:rPr>
          <w:rStyle w:val="8"/>
          <w:rFonts w:hint="eastAsia" w:ascii="仿宋_GB2312" w:hAnsi="仿宋_GB2312" w:eastAsia="仿宋_GB2312" w:cs="仿宋_GB2312"/>
          <w:b/>
          <w:bCs/>
          <w:color w:val="auto"/>
          <w:sz w:val="30"/>
          <w:szCs w:val="30"/>
          <w:lang w:val="en-US" w:eastAsia="zh-CN"/>
        </w:rPr>
      </w:pPr>
      <w:r>
        <w:rPr>
          <w:rStyle w:val="8"/>
          <w:rFonts w:hint="eastAsia" w:ascii="仿宋_GB2312" w:hAnsi="仿宋_GB2312" w:eastAsia="仿宋_GB2312" w:cs="仿宋_GB2312"/>
          <w:b/>
          <w:bCs/>
          <w:color w:val="auto"/>
          <w:sz w:val="30"/>
          <w:szCs w:val="30"/>
          <w:lang w:val="en-US" w:eastAsia="zh-CN"/>
        </w:rPr>
        <w:t>2.采购内容技术功能及相关要求</w:t>
      </w:r>
    </w:p>
    <w:tbl>
      <w:tblPr>
        <w:tblStyle w:val="7"/>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286"/>
        <w:gridCol w:w="6276"/>
      </w:tblGrid>
      <w:tr w14:paraId="0EDB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3D3C6257">
            <w:pPr>
              <w:pageBreakBefore w:val="0"/>
              <w:kinsoku/>
              <w:wordWrap/>
              <w:overflowPunct/>
              <w:topLinePunct w:val="0"/>
              <w:autoSpaceDE/>
              <w:autoSpaceDN/>
              <w:bidi w:val="0"/>
              <w:adjustRightInd w:val="0"/>
              <w:snapToGrid w:val="0"/>
              <w:spacing w:line="360" w:lineRule="auto"/>
              <w:textAlignment w:val="auto"/>
              <w:rPr>
                <w:rFonts w:ascii="宋体" w:hAnsi="宋体" w:eastAsia="宋体" w:cs="Arial"/>
                <w:b/>
                <w:bCs/>
                <w:color w:val="auto"/>
                <w:sz w:val="21"/>
                <w:szCs w:val="21"/>
                <w:highlight w:val="none"/>
              </w:rPr>
            </w:pPr>
            <w:r>
              <w:rPr>
                <w:rFonts w:ascii="宋体" w:hAnsi="宋体" w:eastAsia="宋体"/>
                <w:color w:val="auto"/>
                <w:sz w:val="21"/>
                <w:szCs w:val="21"/>
                <w:highlight w:val="none"/>
              </w:rPr>
              <w:t>序号</w:t>
            </w:r>
          </w:p>
        </w:tc>
        <w:tc>
          <w:tcPr>
            <w:tcW w:w="1286" w:type="dxa"/>
            <w:vAlign w:val="center"/>
          </w:tcPr>
          <w:p w14:paraId="10761557">
            <w:pPr>
              <w:pageBreakBefore w:val="0"/>
              <w:kinsoku/>
              <w:wordWrap/>
              <w:overflowPunct/>
              <w:topLinePunct w:val="0"/>
              <w:autoSpaceDE/>
              <w:autoSpaceDN/>
              <w:bidi w:val="0"/>
              <w:adjustRightInd w:val="0"/>
              <w:snapToGrid w:val="0"/>
              <w:spacing w:line="360" w:lineRule="auto"/>
              <w:textAlignment w:val="auto"/>
              <w:rPr>
                <w:rFonts w:ascii="宋体" w:hAnsi="宋体" w:eastAsia="宋体" w:cs="Arial"/>
                <w:b/>
                <w:bCs/>
                <w:color w:val="auto"/>
                <w:sz w:val="21"/>
                <w:szCs w:val="21"/>
                <w:highlight w:val="none"/>
              </w:rPr>
            </w:pPr>
            <w:r>
              <w:rPr>
                <w:rFonts w:ascii="宋体" w:hAnsi="宋体" w:eastAsia="宋体"/>
                <w:color w:val="auto"/>
                <w:sz w:val="21"/>
                <w:szCs w:val="21"/>
                <w:highlight w:val="none"/>
              </w:rPr>
              <w:t>子项</w:t>
            </w:r>
          </w:p>
        </w:tc>
        <w:tc>
          <w:tcPr>
            <w:tcW w:w="6276" w:type="dxa"/>
            <w:vAlign w:val="center"/>
          </w:tcPr>
          <w:p w14:paraId="1A24D0F3">
            <w:pPr>
              <w:pageBreakBefore w:val="0"/>
              <w:kinsoku/>
              <w:wordWrap/>
              <w:overflowPunct/>
              <w:topLinePunct w:val="0"/>
              <w:autoSpaceDE/>
              <w:autoSpaceDN/>
              <w:bidi w:val="0"/>
              <w:adjustRightInd w:val="0"/>
              <w:snapToGrid w:val="0"/>
              <w:spacing w:line="360" w:lineRule="auto"/>
              <w:textAlignment w:val="auto"/>
              <w:rPr>
                <w:rFonts w:ascii="宋体" w:hAnsi="宋体" w:eastAsia="宋体" w:cs="Arial"/>
                <w:b/>
                <w:bCs/>
                <w:color w:val="auto"/>
                <w:sz w:val="21"/>
                <w:szCs w:val="21"/>
                <w:highlight w:val="none"/>
              </w:rPr>
            </w:pPr>
            <w:r>
              <w:rPr>
                <w:rFonts w:ascii="宋体" w:hAnsi="宋体" w:eastAsia="宋体"/>
                <w:color w:val="auto"/>
                <w:sz w:val="21"/>
                <w:szCs w:val="21"/>
                <w:highlight w:val="none"/>
              </w:rPr>
              <w:t>详细要求</w:t>
            </w:r>
          </w:p>
        </w:tc>
      </w:tr>
      <w:tr w14:paraId="0BBB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217" w:type="dxa"/>
            <w:gridSpan w:val="3"/>
            <w:vAlign w:val="center"/>
          </w:tcPr>
          <w:p w14:paraId="7651B645">
            <w:pPr>
              <w:pStyle w:val="13"/>
              <w:pageBreakBefore w:val="0"/>
              <w:numPr>
                <w:ilvl w:val="0"/>
                <w:numId w:val="3"/>
              </w:numPr>
              <w:kinsoku/>
              <w:wordWrap/>
              <w:overflowPunct/>
              <w:topLinePunct w:val="0"/>
              <w:autoSpaceDE/>
              <w:autoSpaceDN/>
              <w:bidi w:val="0"/>
              <w:adjustRightInd w:val="0"/>
              <w:snapToGrid w:val="0"/>
              <w:spacing w:line="360" w:lineRule="auto"/>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合理用药监测系统</w:t>
            </w:r>
            <w:r>
              <w:rPr>
                <w:rFonts w:hint="eastAsia" w:ascii="宋体" w:hAnsi="宋体" w:eastAsia="宋体"/>
                <w:b/>
                <w:bCs/>
                <w:color w:val="auto"/>
                <w:sz w:val="21"/>
                <w:szCs w:val="21"/>
                <w:highlight w:val="none"/>
              </w:rPr>
              <w:t>功能要求</w:t>
            </w:r>
          </w:p>
        </w:tc>
      </w:tr>
      <w:tr w14:paraId="37FC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41A9C24C">
            <w:pPr>
              <w:pStyle w:val="13"/>
              <w:pageBreakBefore w:val="0"/>
              <w:numPr>
                <w:ilvl w:val="0"/>
                <w:numId w:val="4"/>
              </w:numPr>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p>
        </w:tc>
        <w:tc>
          <w:tcPr>
            <w:tcW w:w="1286" w:type="dxa"/>
            <w:vAlign w:val="center"/>
          </w:tcPr>
          <w:p w14:paraId="20CDDE5B">
            <w:pPr>
              <w:pageBreakBefore w:val="0"/>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处方（医嘱）用药审查功能</w:t>
            </w:r>
          </w:p>
        </w:tc>
        <w:tc>
          <w:tcPr>
            <w:tcW w:w="6276" w:type="dxa"/>
            <w:vAlign w:val="center"/>
          </w:tcPr>
          <w:p w14:paraId="0EC109B5">
            <w:pPr>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Arial"/>
                <w:color w:val="auto"/>
                <w:sz w:val="21"/>
                <w:szCs w:val="21"/>
                <w:highlight w:val="none"/>
              </w:rPr>
            </w:pPr>
            <w:r>
              <w:rPr>
                <w:rFonts w:hint="eastAsia" w:cs="Arial"/>
                <w:color w:val="auto"/>
                <w:sz w:val="21"/>
                <w:szCs w:val="21"/>
                <w:highlight w:val="none"/>
                <w:lang w:val="en-US" w:eastAsia="zh-CN"/>
              </w:rPr>
              <w:t>1.1</w:t>
            </w:r>
            <w:r>
              <w:rPr>
                <w:rFonts w:hint="eastAsia" w:ascii="宋体" w:hAnsi="宋体" w:eastAsia="宋体" w:cs="Arial"/>
                <w:color w:val="auto"/>
                <w:sz w:val="21"/>
                <w:szCs w:val="21"/>
                <w:highlight w:val="none"/>
              </w:rPr>
              <w:t>系统应能对处方（医嘱）用药进行剂量审查、累积剂量审查、超多日用量审查、给药途径审查、相互作用审查、体外注射剂配伍审查、配伍浓度审查、钾离子监测、、门诊输液审查、禁忌症审查、不良反应审查、特殊人群（儿童、成人、老人、妊娠、哺乳、性别）用药审查、重复用药（重复成分、重复治疗）审查、适应症审查、药物过敏审查、药物检验值审查、规范性审查、监测指标审查、越权用药审查、围术期用药审查，并提示医生。</w:t>
            </w:r>
          </w:p>
          <w:p w14:paraId="1D6C83D5">
            <w:pPr>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Arial"/>
                <w:color w:val="auto"/>
                <w:sz w:val="21"/>
                <w:szCs w:val="21"/>
                <w:highlight w:val="none"/>
                <w:lang w:eastAsia="zh-CN"/>
              </w:rPr>
            </w:pPr>
            <w:r>
              <w:rPr>
                <w:rFonts w:hint="eastAsia" w:ascii="宋体" w:hAnsi="宋体" w:eastAsia="宋体" w:cs="Arial"/>
                <w:bCs/>
                <w:color w:val="auto"/>
                <w:sz w:val="21"/>
                <w:szCs w:val="21"/>
                <w:highlight w:val="none"/>
                <w:lang w:val="en-US" w:eastAsia="zh-CN"/>
              </w:rPr>
              <w:t>1.2</w:t>
            </w:r>
            <w:r>
              <w:rPr>
                <w:rFonts w:hint="eastAsia" w:ascii="宋体" w:hAnsi="宋体" w:eastAsia="宋体" w:cs="Arial"/>
                <w:color w:val="auto"/>
                <w:sz w:val="21"/>
                <w:szCs w:val="21"/>
                <w:highlight w:val="none"/>
              </w:rPr>
              <w:t>系统应能对处方（医嘱）用药进行TPN处方审查</w:t>
            </w:r>
            <w:r>
              <w:rPr>
                <w:rFonts w:hint="eastAsia" w:ascii="宋体" w:hAnsi="宋体" w:eastAsia="宋体" w:cs="Arial"/>
                <w:color w:val="auto"/>
                <w:sz w:val="21"/>
                <w:szCs w:val="21"/>
                <w:highlight w:val="none"/>
                <w:lang w:eastAsia="zh-CN"/>
              </w:rPr>
              <w:t>、</w:t>
            </w:r>
            <w:r>
              <w:rPr>
                <w:rFonts w:hint="eastAsia" w:ascii="宋体" w:hAnsi="宋体" w:eastAsia="宋体" w:cs="Arial"/>
                <w:color w:val="auto"/>
                <w:sz w:val="21"/>
                <w:szCs w:val="21"/>
                <w:highlight w:val="none"/>
              </w:rPr>
              <w:t>医保审查，并提示医生。</w:t>
            </w:r>
          </w:p>
        </w:tc>
      </w:tr>
      <w:tr w14:paraId="0150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55" w:type="dxa"/>
            <w:vAlign w:val="center"/>
          </w:tcPr>
          <w:p w14:paraId="0BD74F15">
            <w:pPr>
              <w:pStyle w:val="13"/>
              <w:pageBreakBefore w:val="0"/>
              <w:numPr>
                <w:ilvl w:val="0"/>
                <w:numId w:val="4"/>
              </w:numPr>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p>
        </w:tc>
        <w:tc>
          <w:tcPr>
            <w:tcW w:w="1286" w:type="dxa"/>
            <w:vAlign w:val="center"/>
          </w:tcPr>
          <w:p w14:paraId="4979AAD0">
            <w:pPr>
              <w:pageBreakBefore w:val="0"/>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r>
              <w:rPr>
                <w:rFonts w:hint="eastAsia" w:ascii="宋体" w:hAnsi="宋体" w:eastAsia="宋体" w:cs="Arial"/>
                <w:color w:val="auto"/>
                <w:sz w:val="21"/>
                <w:szCs w:val="21"/>
                <w:highlight w:val="none"/>
              </w:rPr>
              <w:t>药品信息提示功能</w:t>
            </w:r>
          </w:p>
        </w:tc>
        <w:tc>
          <w:tcPr>
            <w:tcW w:w="6276" w:type="dxa"/>
            <w:vAlign w:val="center"/>
          </w:tcPr>
          <w:p w14:paraId="61E6F824">
            <w:pPr>
              <w:pStyle w:val="3"/>
              <w:keepNext w:val="0"/>
              <w:keepLines w:val="0"/>
              <w:pageBreakBefore w:val="0"/>
              <w:kinsoku/>
              <w:wordWrap/>
              <w:overflowPunct/>
              <w:topLinePunct w:val="0"/>
              <w:autoSpaceDE/>
              <w:autoSpaceDN/>
              <w:bidi w:val="0"/>
              <w:adjustRightInd w:val="0"/>
              <w:snapToGrid w:val="0"/>
              <w:spacing w:before="0" w:after="0" w:line="360" w:lineRule="auto"/>
              <w:textAlignment w:val="auto"/>
              <w:rPr>
                <w:rFonts w:ascii="宋体" w:hAnsi="宋体" w:cs="Arial"/>
                <w:b w:val="0"/>
                <w:bCs w:val="0"/>
                <w:color w:val="auto"/>
                <w:sz w:val="21"/>
                <w:szCs w:val="21"/>
                <w:highlight w:val="none"/>
              </w:rPr>
            </w:pPr>
            <w:r>
              <w:rPr>
                <w:rFonts w:hint="eastAsia" w:ascii="宋体" w:hAnsi="宋体" w:cs="Arial"/>
                <w:b w:val="0"/>
                <w:bCs w:val="0"/>
                <w:color w:val="auto"/>
                <w:sz w:val="21"/>
                <w:szCs w:val="21"/>
                <w:highlight w:val="none"/>
              </w:rPr>
              <w:t>可快捷查看药品相关重要信息；药品厂家说明书；查询相应药品的中药材专论信息。</w:t>
            </w:r>
          </w:p>
        </w:tc>
      </w:tr>
      <w:tr w14:paraId="0EC8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6293FEFF">
            <w:pPr>
              <w:pStyle w:val="13"/>
              <w:pageBreakBefore w:val="0"/>
              <w:numPr>
                <w:ilvl w:val="0"/>
                <w:numId w:val="4"/>
              </w:numPr>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p>
        </w:tc>
        <w:tc>
          <w:tcPr>
            <w:tcW w:w="1286" w:type="dxa"/>
            <w:vAlign w:val="center"/>
          </w:tcPr>
          <w:p w14:paraId="774392CA">
            <w:pPr>
              <w:pageBreakBefore w:val="0"/>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r>
              <w:rPr>
                <w:rFonts w:hint="eastAsia" w:ascii="宋体" w:hAnsi="宋体" w:eastAsia="宋体" w:cs="Arial"/>
                <w:color w:val="auto"/>
                <w:sz w:val="21"/>
                <w:szCs w:val="21"/>
                <w:highlight w:val="none"/>
              </w:rPr>
              <w:t>质子泵抑制药专项管控</w:t>
            </w:r>
          </w:p>
        </w:tc>
        <w:tc>
          <w:tcPr>
            <w:tcW w:w="6276" w:type="dxa"/>
            <w:vAlign w:val="center"/>
          </w:tcPr>
          <w:p w14:paraId="70690203">
            <w:pPr>
              <w:pStyle w:val="3"/>
              <w:pageBreakBefore w:val="0"/>
              <w:numPr>
                <w:ilvl w:val="0"/>
                <w:numId w:val="5"/>
              </w:numPr>
              <w:kinsoku/>
              <w:wordWrap/>
              <w:overflowPunct/>
              <w:topLinePunct w:val="0"/>
              <w:autoSpaceDE/>
              <w:autoSpaceDN/>
              <w:bidi w:val="0"/>
              <w:adjustRightInd w:val="0"/>
              <w:snapToGrid w:val="0"/>
              <w:spacing w:before="0" w:after="0" w:line="360" w:lineRule="auto"/>
              <w:textAlignment w:val="auto"/>
              <w:rPr>
                <w:rFonts w:ascii="宋体" w:hAnsi="宋体" w:cs="Arial"/>
                <w:b w:val="0"/>
                <w:color w:val="auto"/>
                <w:sz w:val="21"/>
                <w:szCs w:val="21"/>
                <w:highlight w:val="none"/>
              </w:rPr>
            </w:pPr>
            <w:r>
              <w:rPr>
                <w:rFonts w:hint="eastAsia" w:ascii="宋体" w:hAnsi="宋体" w:cs="Arial"/>
                <w:b w:val="0"/>
                <w:color w:val="auto"/>
                <w:sz w:val="21"/>
                <w:szCs w:val="21"/>
                <w:highlight w:val="none"/>
              </w:rPr>
              <w:t>医生开具质子泵抑制剂药品时，需填写用药评估单。提供评估单专项统计分析。</w:t>
            </w:r>
          </w:p>
          <w:p w14:paraId="7D72B5D4">
            <w:pPr>
              <w:pStyle w:val="3"/>
              <w:pageBreakBefore w:val="0"/>
              <w:numPr>
                <w:ilvl w:val="0"/>
                <w:numId w:val="5"/>
              </w:numPr>
              <w:kinsoku/>
              <w:wordWrap/>
              <w:overflowPunct/>
              <w:topLinePunct w:val="0"/>
              <w:autoSpaceDE/>
              <w:autoSpaceDN/>
              <w:bidi w:val="0"/>
              <w:adjustRightInd w:val="0"/>
              <w:snapToGrid w:val="0"/>
              <w:spacing w:before="0" w:after="0" w:line="360" w:lineRule="auto"/>
              <w:textAlignment w:val="auto"/>
              <w:rPr>
                <w:rFonts w:ascii="宋体" w:hAnsi="宋体" w:cs="Arial"/>
                <w:b w:val="0"/>
                <w:color w:val="auto"/>
                <w:sz w:val="21"/>
                <w:szCs w:val="21"/>
                <w:highlight w:val="none"/>
              </w:rPr>
            </w:pPr>
            <w:r>
              <w:rPr>
                <w:rFonts w:hint="eastAsia" w:ascii="宋体" w:hAnsi="宋体" w:cs="Arial"/>
                <w:b w:val="0"/>
                <w:color w:val="auto"/>
                <w:sz w:val="21"/>
                <w:szCs w:val="21"/>
                <w:highlight w:val="none"/>
              </w:rPr>
              <w:t>系统可评估患者病生状态，若存在应激性溃疡风险，提供质子泵抑制剂用药建议。</w:t>
            </w:r>
          </w:p>
          <w:p w14:paraId="25D48A42">
            <w:pPr>
              <w:pStyle w:val="3"/>
              <w:pageBreakBefore w:val="0"/>
              <w:numPr>
                <w:ilvl w:val="0"/>
                <w:numId w:val="5"/>
              </w:numPr>
              <w:kinsoku/>
              <w:wordWrap/>
              <w:overflowPunct/>
              <w:topLinePunct w:val="0"/>
              <w:autoSpaceDE/>
              <w:autoSpaceDN/>
              <w:bidi w:val="0"/>
              <w:adjustRightInd w:val="0"/>
              <w:snapToGrid w:val="0"/>
              <w:spacing w:before="0" w:after="0" w:line="360" w:lineRule="auto"/>
              <w:textAlignment w:val="auto"/>
              <w:rPr>
                <w:rFonts w:ascii="宋体" w:hAnsi="宋体"/>
                <w:color w:val="auto"/>
                <w:sz w:val="21"/>
                <w:szCs w:val="21"/>
                <w:highlight w:val="none"/>
              </w:rPr>
            </w:pPr>
            <w:r>
              <w:rPr>
                <w:rFonts w:hint="eastAsia" w:ascii="宋体" w:hAnsi="宋体" w:cs="Arial"/>
                <w:b w:val="0"/>
                <w:color w:val="auto"/>
                <w:sz w:val="21"/>
                <w:szCs w:val="21"/>
                <w:highlight w:val="none"/>
              </w:rPr>
              <w:t>围术期不合理使用质子泵抑制剂时，系统可警示医生。</w:t>
            </w:r>
          </w:p>
        </w:tc>
      </w:tr>
      <w:tr w14:paraId="0BE6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5D527F32">
            <w:pPr>
              <w:pStyle w:val="13"/>
              <w:pageBreakBefore w:val="0"/>
              <w:numPr>
                <w:ilvl w:val="0"/>
                <w:numId w:val="4"/>
              </w:numPr>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p>
        </w:tc>
        <w:tc>
          <w:tcPr>
            <w:tcW w:w="1286" w:type="dxa"/>
            <w:vAlign w:val="center"/>
          </w:tcPr>
          <w:p w14:paraId="3099FDB0">
            <w:pPr>
              <w:pageBreakBefore w:val="0"/>
              <w:kinsoku/>
              <w:wordWrap/>
              <w:overflowPunct/>
              <w:topLinePunct w:val="0"/>
              <w:autoSpaceDE/>
              <w:autoSpaceDN/>
              <w:bidi w:val="0"/>
              <w:adjustRightInd w:val="0"/>
              <w:snapToGrid w:val="0"/>
              <w:spacing w:line="360" w:lineRule="auto"/>
              <w:textAlignment w:val="auto"/>
              <w:rPr>
                <w:rFonts w:ascii="宋体" w:hAnsi="宋体" w:eastAsia="宋体" w:cs="Arial"/>
                <w:color w:val="auto"/>
                <w:sz w:val="21"/>
                <w:szCs w:val="21"/>
                <w:highlight w:val="none"/>
              </w:rPr>
            </w:pPr>
            <w:r>
              <w:rPr>
                <w:rFonts w:hint="eastAsia" w:ascii="宋体" w:hAnsi="宋体" w:eastAsia="宋体" w:cs="Arial"/>
                <w:color w:val="auto"/>
                <w:sz w:val="21"/>
                <w:szCs w:val="21"/>
                <w:highlight w:val="none"/>
              </w:rPr>
              <w:t>协定方专项管控</w:t>
            </w:r>
          </w:p>
        </w:tc>
        <w:tc>
          <w:tcPr>
            <w:tcW w:w="6276" w:type="dxa"/>
            <w:vAlign w:val="center"/>
          </w:tcPr>
          <w:p w14:paraId="75CAFA52">
            <w:pPr>
              <w:pStyle w:val="3"/>
              <w:pageBreakBefore w:val="0"/>
              <w:kinsoku/>
              <w:wordWrap/>
              <w:overflowPunct/>
              <w:topLinePunct w:val="0"/>
              <w:autoSpaceDE/>
              <w:autoSpaceDN/>
              <w:bidi w:val="0"/>
              <w:adjustRightInd w:val="0"/>
              <w:snapToGrid w:val="0"/>
              <w:spacing w:before="0" w:after="0" w:line="360" w:lineRule="auto"/>
              <w:textAlignment w:val="auto"/>
              <w:rPr>
                <w:rFonts w:ascii="宋体" w:hAnsi="宋体" w:cs="Arial"/>
                <w:b w:val="0"/>
                <w:bCs w:val="0"/>
                <w:color w:val="auto"/>
                <w:sz w:val="21"/>
                <w:szCs w:val="21"/>
                <w:highlight w:val="none"/>
              </w:rPr>
            </w:pPr>
            <w:r>
              <w:rPr>
                <w:rFonts w:hint="eastAsia" w:ascii="宋体" w:hAnsi="宋体" w:cs="Arial"/>
                <w:b w:val="0"/>
                <w:bCs w:val="0"/>
                <w:color w:val="auto"/>
                <w:sz w:val="21"/>
                <w:szCs w:val="21"/>
                <w:highlight w:val="none"/>
              </w:rPr>
              <w:t>系统提供医院中药协定方证型适宜性审查。</w:t>
            </w:r>
          </w:p>
        </w:tc>
      </w:tr>
      <w:tr w14:paraId="21C6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2CC94989">
            <w:pPr>
              <w:pStyle w:val="13"/>
              <w:pageBreakBefore w:val="0"/>
              <w:numPr>
                <w:ilvl w:val="0"/>
                <w:numId w:val="4"/>
              </w:numPr>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p>
        </w:tc>
        <w:tc>
          <w:tcPr>
            <w:tcW w:w="1286" w:type="dxa"/>
            <w:vAlign w:val="center"/>
          </w:tcPr>
          <w:p w14:paraId="62D21D78">
            <w:pPr>
              <w:pageBreakBefore w:val="0"/>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经验性用药专项管控</w:t>
            </w:r>
          </w:p>
        </w:tc>
        <w:tc>
          <w:tcPr>
            <w:tcW w:w="6276" w:type="dxa"/>
            <w:vAlign w:val="center"/>
          </w:tcPr>
          <w:p w14:paraId="2A8F0F7D">
            <w:pPr>
              <w:pStyle w:val="3"/>
              <w:pageBreakBefore w:val="0"/>
              <w:kinsoku/>
              <w:wordWrap/>
              <w:overflowPunct/>
              <w:topLinePunct w:val="0"/>
              <w:autoSpaceDE/>
              <w:autoSpaceDN/>
              <w:bidi w:val="0"/>
              <w:adjustRightInd w:val="0"/>
              <w:snapToGrid w:val="0"/>
              <w:spacing w:before="0" w:after="0" w:line="360" w:lineRule="auto"/>
              <w:textAlignment w:val="auto"/>
              <w:rPr>
                <w:rFonts w:ascii="宋体" w:hAnsi="宋体" w:cs="Arial"/>
                <w:b w:val="0"/>
                <w:color w:val="auto"/>
                <w:sz w:val="21"/>
                <w:szCs w:val="21"/>
                <w:highlight w:val="none"/>
              </w:rPr>
            </w:pPr>
            <w:r>
              <w:rPr>
                <w:rFonts w:hint="eastAsia" w:ascii="宋体" w:hAnsi="宋体" w:cs="Arial"/>
                <w:b w:val="0"/>
                <w:color w:val="auto"/>
                <w:sz w:val="21"/>
                <w:szCs w:val="21"/>
                <w:highlight w:val="none"/>
              </w:rPr>
              <w:t>系统提供抗肿瘤药物过敏反应预处理用药合理性审查。</w:t>
            </w:r>
          </w:p>
        </w:tc>
      </w:tr>
      <w:tr w14:paraId="60D8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00FCC555">
            <w:pPr>
              <w:pStyle w:val="13"/>
              <w:pageBreakBefore w:val="0"/>
              <w:numPr>
                <w:ilvl w:val="0"/>
                <w:numId w:val="4"/>
              </w:numPr>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p>
        </w:tc>
        <w:tc>
          <w:tcPr>
            <w:tcW w:w="1286" w:type="dxa"/>
            <w:vAlign w:val="center"/>
          </w:tcPr>
          <w:p w14:paraId="2AA3A352">
            <w:pPr>
              <w:pageBreakBefore w:val="0"/>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抗菌药物专项管控</w:t>
            </w:r>
          </w:p>
        </w:tc>
        <w:tc>
          <w:tcPr>
            <w:tcW w:w="6276" w:type="dxa"/>
            <w:vAlign w:val="center"/>
          </w:tcPr>
          <w:p w14:paraId="2962988F">
            <w:pPr>
              <w:pStyle w:val="13"/>
              <w:pageBreakBefore w:val="0"/>
              <w:numPr>
                <w:ilvl w:val="0"/>
                <w:numId w:val="0"/>
              </w:numPr>
              <w:kinsoku/>
              <w:wordWrap/>
              <w:overflowPunct/>
              <w:topLinePunct w:val="0"/>
              <w:autoSpaceDE/>
              <w:autoSpaceDN/>
              <w:bidi w:val="0"/>
              <w:adjustRightInd w:val="0"/>
              <w:snapToGrid w:val="0"/>
              <w:spacing w:line="360" w:lineRule="auto"/>
              <w:ind w:leftChars="0"/>
              <w:textAlignment w:val="auto"/>
              <w:rPr>
                <w:rFonts w:ascii="宋体" w:hAnsi="宋体" w:eastAsia="宋体"/>
                <w:color w:val="auto"/>
                <w:sz w:val="21"/>
                <w:szCs w:val="21"/>
                <w:highlight w:val="none"/>
              </w:rPr>
            </w:pPr>
            <w:r>
              <w:rPr>
                <w:rFonts w:hint="eastAsia"/>
                <w:color w:val="auto"/>
                <w:sz w:val="21"/>
                <w:szCs w:val="21"/>
                <w:highlight w:val="none"/>
                <w:lang w:val="en-US" w:eastAsia="zh-CN"/>
              </w:rPr>
              <w:t>6.1</w:t>
            </w:r>
            <w:r>
              <w:rPr>
                <w:rFonts w:hint="eastAsia" w:ascii="宋体" w:hAnsi="宋体" w:eastAsia="宋体"/>
                <w:color w:val="auto"/>
                <w:sz w:val="21"/>
                <w:szCs w:val="21"/>
                <w:highlight w:val="none"/>
              </w:rPr>
              <w:t>医生开具预防用抗菌药物时，需填写用药评估单，评估单区分非手术预防用药和手术预防用药。</w:t>
            </w:r>
          </w:p>
          <w:p w14:paraId="52102134">
            <w:pPr>
              <w:pStyle w:val="13"/>
              <w:pageBreakBefore w:val="0"/>
              <w:numPr>
                <w:ilvl w:val="0"/>
                <w:numId w:val="0"/>
              </w:numPr>
              <w:kinsoku/>
              <w:wordWrap/>
              <w:overflowPunct/>
              <w:topLinePunct w:val="0"/>
              <w:autoSpaceDE/>
              <w:autoSpaceDN/>
              <w:bidi w:val="0"/>
              <w:adjustRightInd w:val="0"/>
              <w:snapToGrid w:val="0"/>
              <w:spacing w:line="360" w:lineRule="auto"/>
              <w:ind w:leftChars="0"/>
              <w:textAlignment w:val="auto"/>
              <w:rPr>
                <w:rFonts w:ascii="宋体" w:hAnsi="宋体" w:eastAsia="宋体"/>
                <w:b/>
                <w:color w:val="auto"/>
                <w:sz w:val="21"/>
                <w:szCs w:val="21"/>
                <w:highlight w:val="none"/>
              </w:rPr>
            </w:pPr>
            <w:r>
              <w:rPr>
                <w:rFonts w:hint="eastAsia"/>
                <w:color w:val="auto"/>
                <w:sz w:val="21"/>
                <w:szCs w:val="21"/>
                <w:highlight w:val="none"/>
                <w:lang w:val="en-US" w:eastAsia="zh-CN"/>
              </w:rPr>
              <w:t>6.2</w:t>
            </w:r>
            <w:r>
              <w:rPr>
                <w:rFonts w:hint="eastAsia" w:ascii="宋体" w:hAnsi="宋体" w:eastAsia="宋体"/>
                <w:color w:val="auto"/>
                <w:sz w:val="21"/>
                <w:szCs w:val="21"/>
                <w:highlight w:val="none"/>
              </w:rPr>
              <w:t>系统提供抗菌药物用药指征审查。医生开具抗菌药物必须有用药指征，否则系统将予以警示。</w:t>
            </w:r>
          </w:p>
        </w:tc>
      </w:tr>
      <w:tr w14:paraId="0F73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35F43B30">
            <w:pPr>
              <w:pStyle w:val="13"/>
              <w:pageBreakBefore w:val="0"/>
              <w:numPr>
                <w:ilvl w:val="0"/>
                <w:numId w:val="4"/>
              </w:numPr>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p>
        </w:tc>
        <w:tc>
          <w:tcPr>
            <w:tcW w:w="1286" w:type="dxa"/>
            <w:vAlign w:val="center"/>
          </w:tcPr>
          <w:p w14:paraId="73266251">
            <w:pPr>
              <w:pageBreakBefore w:val="0"/>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审查提示屏蔽功能</w:t>
            </w:r>
          </w:p>
        </w:tc>
        <w:tc>
          <w:tcPr>
            <w:tcW w:w="6276" w:type="dxa"/>
            <w:vAlign w:val="center"/>
          </w:tcPr>
          <w:p w14:paraId="7C419FD8">
            <w:pPr>
              <w:pageBreakBefore w:val="0"/>
              <w:kinsoku/>
              <w:wordWrap/>
              <w:overflowPunct/>
              <w:topLinePunct w:val="0"/>
              <w:autoSpaceDE/>
              <w:autoSpaceDN/>
              <w:bidi w:val="0"/>
              <w:adjustRightInd w:val="0"/>
              <w:snapToGrid w:val="0"/>
              <w:spacing w:line="360" w:lineRule="auto"/>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能对剂量、给药途径、药物相互作用、体外注射剂配伍、配伍浓度、禁忌症、不良反应、儿童用药、老人用药、成人用药、性别用药、妊娠期用药、哺乳期用药、药物过敏、重复用药等审查项目进行审查提示屏蔽，支持分门诊、住院、急诊屏蔽，屏蔽后不再对相同问题进行提示。</w:t>
            </w:r>
          </w:p>
        </w:tc>
      </w:tr>
      <w:tr w14:paraId="32B0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01A2AFD8">
            <w:pPr>
              <w:pStyle w:val="13"/>
              <w:pageBreakBefore w:val="0"/>
              <w:numPr>
                <w:ilvl w:val="0"/>
                <w:numId w:val="4"/>
              </w:numPr>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p>
        </w:tc>
        <w:tc>
          <w:tcPr>
            <w:tcW w:w="1286" w:type="dxa"/>
            <w:vAlign w:val="center"/>
          </w:tcPr>
          <w:p w14:paraId="4A99761E">
            <w:pPr>
              <w:pageBreakBefore w:val="0"/>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审查规则自定义功能（医院专家知识库）</w:t>
            </w:r>
          </w:p>
        </w:tc>
        <w:tc>
          <w:tcPr>
            <w:tcW w:w="6276" w:type="dxa"/>
            <w:vAlign w:val="center"/>
          </w:tcPr>
          <w:p w14:paraId="0AEA40F7">
            <w:pPr>
              <w:pStyle w:val="13"/>
              <w:pageBreakBefore w:val="0"/>
              <w:numPr>
                <w:ilvl w:val="0"/>
                <w:numId w:val="0"/>
              </w:numPr>
              <w:kinsoku/>
              <w:wordWrap/>
              <w:overflowPunct/>
              <w:topLinePunct w:val="0"/>
              <w:autoSpaceDE/>
              <w:autoSpaceDN/>
              <w:bidi w:val="0"/>
              <w:adjustRightInd w:val="0"/>
              <w:snapToGrid w:val="0"/>
              <w:spacing w:line="360" w:lineRule="auto"/>
              <w:textAlignment w:val="auto"/>
              <w:rPr>
                <w:rFonts w:ascii="宋体" w:hAnsi="宋体" w:eastAsia="宋体" w:cs="Arial"/>
                <w:bCs/>
                <w:color w:val="auto"/>
                <w:sz w:val="21"/>
                <w:szCs w:val="21"/>
                <w:highlight w:val="none"/>
              </w:rPr>
            </w:pPr>
            <w:r>
              <w:rPr>
                <w:rFonts w:hint="eastAsia" w:cs="Arial"/>
                <w:bCs/>
                <w:color w:val="auto"/>
                <w:sz w:val="21"/>
                <w:szCs w:val="21"/>
                <w:highlight w:val="none"/>
                <w:lang w:val="en-US" w:eastAsia="zh-CN"/>
              </w:rPr>
              <w:t>8.1</w:t>
            </w:r>
            <w:r>
              <w:rPr>
                <w:rFonts w:hint="eastAsia" w:ascii="宋体" w:hAnsi="宋体" w:eastAsia="宋体" w:cs="Arial"/>
                <w:bCs/>
                <w:color w:val="auto"/>
                <w:sz w:val="21"/>
                <w:szCs w:val="21"/>
                <w:highlight w:val="none"/>
              </w:rPr>
              <w:t>系统可以提供多种自定义方式：</w:t>
            </w:r>
          </w:p>
          <w:p w14:paraId="49FA2747">
            <w:pPr>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（1）基于系统审查数据自定义方式，节省药师工作量；</w:t>
            </w:r>
          </w:p>
          <w:p w14:paraId="40B4EDB6">
            <w:pPr>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（2）可完全由用户新建审查规则包括审查要素和审查逻辑。</w:t>
            </w:r>
          </w:p>
          <w:p w14:paraId="725F471C">
            <w:pPr>
              <w:pStyle w:val="13"/>
              <w:pageBreakBefore w:val="0"/>
              <w:numPr>
                <w:ilvl w:val="0"/>
                <w:numId w:val="0"/>
              </w:numPr>
              <w:kinsoku/>
              <w:wordWrap/>
              <w:overflowPunct/>
              <w:topLinePunct w:val="0"/>
              <w:autoSpaceDE/>
              <w:autoSpaceDN/>
              <w:bidi w:val="0"/>
              <w:adjustRightInd w:val="0"/>
              <w:snapToGrid w:val="0"/>
              <w:spacing w:line="360" w:lineRule="auto"/>
              <w:textAlignment w:val="auto"/>
              <w:rPr>
                <w:rFonts w:ascii="宋体" w:hAnsi="宋体" w:eastAsia="宋体" w:cs="Arial"/>
                <w:bCs/>
                <w:color w:val="auto"/>
                <w:sz w:val="21"/>
                <w:szCs w:val="21"/>
                <w:highlight w:val="none"/>
              </w:rPr>
            </w:pPr>
            <w:r>
              <w:rPr>
                <w:rFonts w:hint="eastAsia" w:cs="Arial"/>
                <w:bCs/>
                <w:color w:val="auto"/>
                <w:sz w:val="21"/>
                <w:szCs w:val="21"/>
                <w:highlight w:val="none"/>
                <w:lang w:val="en-US" w:eastAsia="zh-CN"/>
              </w:rPr>
              <w:t>8.2</w:t>
            </w:r>
            <w:r>
              <w:rPr>
                <w:rFonts w:hint="eastAsia" w:ascii="宋体" w:hAnsi="宋体" w:eastAsia="宋体" w:cs="Arial"/>
                <w:bCs/>
                <w:color w:val="auto"/>
                <w:sz w:val="21"/>
                <w:szCs w:val="21"/>
                <w:highlight w:val="none"/>
              </w:rPr>
              <w:t>用户可自定义药品警示、拦截规则，被拦截的问题处方必须返回修改，否则不可进行下一步操作。用户可设置已执行的长期医嘱是否拦截。</w:t>
            </w:r>
          </w:p>
          <w:p w14:paraId="4AD4E322">
            <w:pPr>
              <w:pStyle w:val="13"/>
              <w:pageBreakBefore w:val="0"/>
              <w:numPr>
                <w:ilvl w:val="0"/>
                <w:numId w:val="0"/>
              </w:numPr>
              <w:kinsoku/>
              <w:wordWrap/>
              <w:overflowPunct/>
              <w:topLinePunct w:val="0"/>
              <w:autoSpaceDE/>
              <w:autoSpaceDN/>
              <w:bidi w:val="0"/>
              <w:adjustRightInd w:val="0"/>
              <w:snapToGrid w:val="0"/>
              <w:spacing w:line="360" w:lineRule="auto"/>
              <w:textAlignment w:val="auto"/>
              <w:rPr>
                <w:rFonts w:ascii="宋体" w:hAnsi="宋体" w:eastAsia="宋体" w:cs="Arial"/>
                <w:bCs/>
                <w:color w:val="auto"/>
                <w:sz w:val="21"/>
                <w:szCs w:val="21"/>
                <w:highlight w:val="none"/>
              </w:rPr>
            </w:pPr>
            <w:r>
              <w:rPr>
                <w:rFonts w:hint="eastAsia" w:cs="Arial"/>
                <w:bCs/>
                <w:color w:val="auto"/>
                <w:sz w:val="21"/>
                <w:szCs w:val="21"/>
                <w:highlight w:val="none"/>
                <w:lang w:val="en-US" w:eastAsia="zh-CN"/>
              </w:rPr>
              <w:t>8.3</w:t>
            </w:r>
            <w:r>
              <w:rPr>
                <w:rFonts w:hint="eastAsia" w:ascii="宋体" w:hAnsi="宋体" w:eastAsia="宋体" w:cs="Arial"/>
                <w:bCs/>
                <w:color w:val="auto"/>
                <w:sz w:val="21"/>
                <w:szCs w:val="21"/>
                <w:highlight w:val="none"/>
              </w:rPr>
              <w:t>规则复制功能：系统支持将其它药品已有的自定义规则分模块复制到被选择的药品上。</w:t>
            </w:r>
          </w:p>
          <w:p w14:paraId="1D1FCFBC">
            <w:pPr>
              <w:pStyle w:val="13"/>
              <w:pageBreakBefore w:val="0"/>
              <w:numPr>
                <w:ilvl w:val="0"/>
                <w:numId w:val="0"/>
              </w:numPr>
              <w:kinsoku/>
              <w:wordWrap/>
              <w:overflowPunct/>
              <w:topLinePunct w:val="0"/>
              <w:autoSpaceDE/>
              <w:autoSpaceDN/>
              <w:bidi w:val="0"/>
              <w:adjustRightInd w:val="0"/>
              <w:snapToGrid w:val="0"/>
              <w:spacing w:line="360" w:lineRule="auto"/>
              <w:textAlignment w:val="auto"/>
              <w:rPr>
                <w:rFonts w:ascii="宋体" w:hAnsi="宋体" w:eastAsia="宋体" w:cs="Arial"/>
                <w:bCs/>
                <w:color w:val="auto"/>
                <w:sz w:val="21"/>
                <w:szCs w:val="21"/>
                <w:highlight w:val="none"/>
              </w:rPr>
            </w:pPr>
            <w:r>
              <w:rPr>
                <w:rFonts w:hint="eastAsia" w:cs="Arial"/>
                <w:bCs/>
                <w:color w:val="auto"/>
                <w:sz w:val="21"/>
                <w:szCs w:val="21"/>
                <w:highlight w:val="none"/>
                <w:lang w:val="en-US" w:eastAsia="zh-CN"/>
              </w:rPr>
              <w:t>8.4</w:t>
            </w:r>
            <w:r>
              <w:rPr>
                <w:rFonts w:hint="eastAsia" w:ascii="宋体" w:hAnsi="宋体" w:eastAsia="宋体" w:cs="Arial"/>
                <w:bCs/>
                <w:color w:val="auto"/>
                <w:sz w:val="21"/>
                <w:szCs w:val="21"/>
                <w:highlight w:val="none"/>
              </w:rPr>
              <w:t>豁免对象：可根据药品、医生、科室等条件设置特定对象不参与某些模块审查，并可按照模块查看对各种豁免情况的统计。</w:t>
            </w:r>
          </w:p>
          <w:p w14:paraId="43A79C38">
            <w:pPr>
              <w:pStyle w:val="13"/>
              <w:pageBreakBefore w:val="0"/>
              <w:numPr>
                <w:ilvl w:val="0"/>
                <w:numId w:val="0"/>
              </w:numPr>
              <w:kinsoku/>
              <w:wordWrap/>
              <w:overflowPunct/>
              <w:topLinePunct w:val="0"/>
              <w:autoSpaceDE/>
              <w:autoSpaceDN/>
              <w:bidi w:val="0"/>
              <w:adjustRightInd w:val="0"/>
              <w:snapToGrid w:val="0"/>
              <w:spacing w:line="360" w:lineRule="auto"/>
              <w:textAlignment w:val="auto"/>
              <w:rPr>
                <w:rFonts w:ascii="宋体" w:hAnsi="宋体" w:eastAsia="宋体" w:cs="Arial"/>
                <w:bCs/>
                <w:color w:val="auto"/>
                <w:sz w:val="21"/>
                <w:szCs w:val="21"/>
                <w:highlight w:val="none"/>
              </w:rPr>
            </w:pPr>
            <w:r>
              <w:rPr>
                <w:rFonts w:hint="eastAsia" w:cs="Arial"/>
                <w:bCs/>
                <w:color w:val="auto"/>
                <w:sz w:val="21"/>
                <w:szCs w:val="21"/>
                <w:highlight w:val="none"/>
                <w:lang w:val="en-US" w:eastAsia="zh-CN"/>
              </w:rPr>
              <w:t>8.5</w:t>
            </w:r>
            <w:r>
              <w:rPr>
                <w:rFonts w:hint="eastAsia" w:ascii="宋体" w:hAnsi="宋体" w:eastAsia="宋体" w:cs="Arial"/>
                <w:bCs/>
                <w:color w:val="auto"/>
                <w:sz w:val="21"/>
                <w:szCs w:val="21"/>
                <w:highlight w:val="none"/>
              </w:rPr>
              <w:t xml:space="preserve">自定义规则查询：可查询药品、科室以及各模块的自定义规则。 </w:t>
            </w:r>
          </w:p>
        </w:tc>
      </w:tr>
      <w:tr w14:paraId="334D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53D4C3E2">
            <w:pPr>
              <w:pStyle w:val="13"/>
              <w:pageBreakBefore w:val="0"/>
              <w:numPr>
                <w:ilvl w:val="0"/>
                <w:numId w:val="4"/>
              </w:numPr>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p>
        </w:tc>
        <w:tc>
          <w:tcPr>
            <w:tcW w:w="1286" w:type="dxa"/>
            <w:vAlign w:val="center"/>
          </w:tcPr>
          <w:p w14:paraId="25352C91">
            <w:pPr>
              <w:pageBreakBefore w:val="0"/>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统计分析功能</w:t>
            </w:r>
          </w:p>
        </w:tc>
        <w:tc>
          <w:tcPr>
            <w:tcW w:w="6276" w:type="dxa"/>
            <w:vAlign w:val="center"/>
          </w:tcPr>
          <w:p w14:paraId="08E7AFE1">
            <w:pPr>
              <w:pStyle w:val="13"/>
              <w:pageBreakBefore w:val="0"/>
              <w:numPr>
                <w:ilvl w:val="0"/>
                <w:numId w:val="6"/>
              </w:numPr>
              <w:kinsoku/>
              <w:wordWrap/>
              <w:overflowPunct/>
              <w:topLinePunct w:val="0"/>
              <w:autoSpaceDE/>
              <w:autoSpaceDN/>
              <w:bidi w:val="0"/>
              <w:adjustRightInd w:val="0"/>
              <w:snapToGrid w:val="0"/>
              <w:spacing w:line="360" w:lineRule="auto"/>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问题处方（医嘱）保存、查询，以及不合理问题统计分析。</w:t>
            </w:r>
          </w:p>
          <w:p w14:paraId="2515DCD4">
            <w:pPr>
              <w:pStyle w:val="13"/>
              <w:pageBreakBefore w:val="0"/>
              <w:numPr>
                <w:ilvl w:val="0"/>
                <w:numId w:val="6"/>
              </w:numPr>
              <w:kinsoku/>
              <w:wordWrap/>
              <w:overflowPunct/>
              <w:topLinePunct w:val="0"/>
              <w:autoSpaceDE/>
              <w:autoSpaceDN/>
              <w:bidi w:val="0"/>
              <w:adjustRightInd w:val="0"/>
              <w:snapToGrid w:val="0"/>
              <w:spacing w:line="360" w:lineRule="auto"/>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用药理由统计</w:t>
            </w:r>
          </w:p>
        </w:tc>
      </w:tr>
      <w:tr w14:paraId="3170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1B345FC3">
            <w:pPr>
              <w:pStyle w:val="13"/>
              <w:pageBreakBefore w:val="0"/>
              <w:numPr>
                <w:ilvl w:val="0"/>
                <w:numId w:val="4"/>
              </w:numPr>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p>
        </w:tc>
        <w:tc>
          <w:tcPr>
            <w:tcW w:w="1286" w:type="dxa"/>
            <w:vAlign w:val="center"/>
          </w:tcPr>
          <w:p w14:paraId="23710B8C">
            <w:pPr>
              <w:pageBreakBefore w:val="0"/>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r>
              <w:rPr>
                <w:rFonts w:ascii="宋体" w:hAnsi="宋体" w:eastAsia="宋体"/>
                <w:color w:val="auto"/>
                <w:sz w:val="21"/>
                <w:szCs w:val="21"/>
                <w:highlight w:val="none"/>
              </w:rPr>
              <w:t>区域合理用药审查</w:t>
            </w:r>
          </w:p>
        </w:tc>
        <w:tc>
          <w:tcPr>
            <w:tcW w:w="6276" w:type="dxa"/>
            <w:vAlign w:val="center"/>
          </w:tcPr>
          <w:p w14:paraId="272BDB91">
            <w:pPr>
              <w:pageBreakBefore w:val="0"/>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10.1支持结合多个机构的历史处方做审查，结合病人在不同机构的过敏信息进行药物过敏审查。</w:t>
            </w:r>
          </w:p>
          <w:p w14:paraId="169DB124">
            <w:pPr>
              <w:pageBreakBefore w:val="0"/>
              <w:kinsoku/>
              <w:wordWrap/>
              <w:overflowPunct/>
              <w:topLinePunct w:val="0"/>
              <w:autoSpaceDE/>
              <w:autoSpaceDN/>
              <w:bidi w:val="0"/>
              <w:adjustRightInd w:val="0"/>
              <w:snapToGrid w:val="0"/>
              <w:spacing w:line="360" w:lineRule="auto"/>
              <w:textAlignment w:val="auto"/>
              <w:rPr>
                <w:rFonts w:ascii="宋体" w:hAnsi="宋体" w:eastAsia="宋体" w:cs="Arial"/>
                <w:bCs/>
                <w:color w:val="auto"/>
                <w:sz w:val="21"/>
                <w:szCs w:val="21"/>
                <w:highlight w:val="none"/>
              </w:rPr>
            </w:pPr>
            <w:r>
              <w:rPr>
                <w:rFonts w:hint="eastAsia" w:ascii="宋体" w:hAnsi="宋体" w:eastAsia="宋体"/>
                <w:color w:val="auto"/>
                <w:sz w:val="21"/>
                <w:szCs w:val="21"/>
                <w:highlight w:val="none"/>
              </w:rPr>
              <w:t>10.2支持区域内共用一套审查规则，无需各机构分别制定审查规则。</w:t>
            </w:r>
          </w:p>
        </w:tc>
      </w:tr>
      <w:tr w14:paraId="4446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217" w:type="dxa"/>
            <w:gridSpan w:val="3"/>
            <w:vAlign w:val="center"/>
          </w:tcPr>
          <w:p w14:paraId="43354CAF">
            <w:pPr>
              <w:pStyle w:val="13"/>
              <w:pageBreakBefore w:val="0"/>
              <w:numPr>
                <w:ilvl w:val="0"/>
                <w:numId w:val="3"/>
              </w:numPr>
              <w:kinsoku/>
              <w:wordWrap/>
              <w:overflowPunct/>
              <w:topLinePunct w:val="0"/>
              <w:autoSpaceDE/>
              <w:autoSpaceDN/>
              <w:bidi w:val="0"/>
              <w:adjustRightInd w:val="0"/>
              <w:snapToGrid w:val="0"/>
              <w:spacing w:line="360" w:lineRule="auto"/>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药师审方干预</w:t>
            </w:r>
            <w:r>
              <w:rPr>
                <w:rFonts w:hint="eastAsia" w:ascii="宋体" w:hAnsi="宋体" w:eastAsia="宋体"/>
                <w:b/>
                <w:bCs/>
                <w:color w:val="auto"/>
                <w:sz w:val="21"/>
                <w:szCs w:val="21"/>
                <w:highlight w:val="none"/>
                <w:lang w:val="en-US" w:eastAsia="zh-CN"/>
              </w:rPr>
              <w:t>系统</w:t>
            </w:r>
            <w:r>
              <w:rPr>
                <w:rFonts w:hint="eastAsia" w:ascii="宋体" w:hAnsi="宋体" w:eastAsia="宋体"/>
                <w:b/>
                <w:bCs/>
                <w:color w:val="auto"/>
                <w:sz w:val="21"/>
                <w:szCs w:val="21"/>
                <w:highlight w:val="none"/>
              </w:rPr>
              <w:t>功能要求</w:t>
            </w:r>
          </w:p>
        </w:tc>
      </w:tr>
      <w:tr w14:paraId="5CA3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2AC8012D">
            <w:pPr>
              <w:pStyle w:val="13"/>
              <w:pageBreakBefore w:val="0"/>
              <w:numPr>
                <w:ilvl w:val="0"/>
                <w:numId w:val="7"/>
              </w:numPr>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p>
        </w:tc>
        <w:tc>
          <w:tcPr>
            <w:tcW w:w="1286" w:type="dxa"/>
            <w:vAlign w:val="center"/>
          </w:tcPr>
          <w:p w14:paraId="75D391DD">
            <w:pPr>
              <w:pageBreakBefore w:val="0"/>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审方时机和过程</w:t>
            </w:r>
          </w:p>
        </w:tc>
        <w:tc>
          <w:tcPr>
            <w:tcW w:w="6276" w:type="dxa"/>
            <w:vAlign w:val="center"/>
          </w:tcPr>
          <w:p w14:paraId="7E7C583A">
            <w:pPr>
              <w:pStyle w:val="3"/>
              <w:pageBreakBefore w:val="0"/>
              <w:kinsoku/>
              <w:wordWrap/>
              <w:overflowPunct/>
              <w:topLinePunct w:val="0"/>
              <w:autoSpaceDE/>
              <w:autoSpaceDN/>
              <w:bidi w:val="0"/>
              <w:adjustRightInd w:val="0"/>
              <w:snapToGrid w:val="0"/>
              <w:spacing w:before="0" w:after="0" w:line="360" w:lineRule="auto"/>
              <w:textAlignment w:val="auto"/>
              <w:rPr>
                <w:rFonts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系统可以为药师提供专门的审方工作平台，帮助门诊药师在患者缴费前完成门诊处方实时审查、住院药师在护士领药前完成住院医嘱审查。系统先自动审查出问题处方（医嘱），再由药师人工审查，审查过程中药师可以与医生实时互动，直到处方（医嘱）通过。必要时，药师可同时接收门诊、住院任务。</w:t>
            </w:r>
          </w:p>
        </w:tc>
      </w:tr>
      <w:tr w14:paraId="76CB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77C8DE77">
            <w:pPr>
              <w:pStyle w:val="13"/>
              <w:pageBreakBefore w:val="0"/>
              <w:numPr>
                <w:ilvl w:val="0"/>
                <w:numId w:val="7"/>
              </w:numPr>
              <w:kinsoku/>
              <w:wordWrap/>
              <w:overflowPunct/>
              <w:topLinePunct w:val="0"/>
              <w:autoSpaceDE/>
              <w:autoSpaceDN/>
              <w:bidi w:val="0"/>
              <w:adjustRightInd w:val="0"/>
              <w:snapToGrid w:val="0"/>
              <w:spacing w:line="360" w:lineRule="auto"/>
              <w:ind w:left="0" w:firstLine="0"/>
              <w:textAlignment w:val="auto"/>
              <w:rPr>
                <w:rFonts w:ascii="宋体" w:hAnsi="宋体" w:eastAsia="宋体"/>
                <w:color w:val="auto"/>
                <w:sz w:val="21"/>
                <w:szCs w:val="21"/>
                <w:highlight w:val="none"/>
              </w:rPr>
            </w:pPr>
          </w:p>
        </w:tc>
        <w:tc>
          <w:tcPr>
            <w:tcW w:w="1286" w:type="dxa"/>
            <w:vAlign w:val="center"/>
          </w:tcPr>
          <w:p w14:paraId="4328FCB9">
            <w:pPr>
              <w:pageBreakBefore w:val="0"/>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r>
              <w:rPr>
                <w:rFonts w:hint="eastAsia" w:ascii="宋体" w:hAnsi="宋体" w:eastAsia="宋体" w:cs="Arial"/>
                <w:color w:val="auto"/>
                <w:sz w:val="21"/>
                <w:szCs w:val="21"/>
                <w:highlight w:val="none"/>
              </w:rPr>
              <w:t>审方干预功能</w:t>
            </w:r>
          </w:p>
        </w:tc>
        <w:tc>
          <w:tcPr>
            <w:tcW w:w="6276" w:type="dxa"/>
            <w:vAlign w:val="center"/>
          </w:tcPr>
          <w:p w14:paraId="6CC2BA0B">
            <w:pPr>
              <w:pStyle w:val="3"/>
              <w:pageBreakBefore w:val="0"/>
              <w:numPr>
                <w:ilvl w:val="0"/>
                <w:numId w:val="0"/>
              </w:numPr>
              <w:kinsoku/>
              <w:wordWrap/>
              <w:overflowPunct/>
              <w:topLinePunct w:val="0"/>
              <w:autoSpaceDE/>
              <w:autoSpaceDN/>
              <w:bidi w:val="0"/>
              <w:adjustRightInd w:val="0"/>
              <w:snapToGrid w:val="0"/>
              <w:spacing w:before="0" w:after="0" w:line="360" w:lineRule="auto"/>
              <w:ind w:leftChars="0"/>
              <w:textAlignment w:val="auto"/>
              <w:rPr>
                <w:rFonts w:hint="eastAsia" w:ascii="宋体" w:hAnsi="宋体" w:eastAsia="宋体" w:cs="Arial"/>
                <w:b w:val="0"/>
                <w:bCs w:val="0"/>
                <w:color w:val="auto"/>
                <w:sz w:val="21"/>
                <w:szCs w:val="21"/>
                <w:highlight w:val="none"/>
              </w:rPr>
            </w:pPr>
            <w:r>
              <w:rPr>
                <w:rFonts w:hint="eastAsia" w:ascii="宋体" w:hAnsi="宋体" w:eastAsia="宋体" w:cs="Arial"/>
                <w:b w:val="0"/>
                <w:bCs w:val="0"/>
                <w:color w:val="auto"/>
                <w:sz w:val="21"/>
                <w:szCs w:val="21"/>
                <w:highlight w:val="none"/>
                <w:lang w:val="en-US" w:eastAsia="zh-CN"/>
              </w:rPr>
              <w:t>2.1</w:t>
            </w:r>
            <w:r>
              <w:rPr>
                <w:rFonts w:hint="eastAsia" w:ascii="宋体" w:hAnsi="宋体" w:eastAsia="宋体" w:cs="Arial"/>
                <w:b w:val="0"/>
                <w:bCs w:val="0"/>
                <w:color w:val="auto"/>
                <w:sz w:val="21"/>
                <w:szCs w:val="21"/>
                <w:highlight w:val="none"/>
              </w:rPr>
              <w:t>系统可主动分配任务给药师，任务来临时可用弹框提醒药师，点击弹框后即可跳转至审方页面。</w:t>
            </w:r>
            <w:bookmarkStart w:id="25" w:name="_Hlk109921512"/>
          </w:p>
          <w:p w14:paraId="566C54F1">
            <w:pPr>
              <w:pStyle w:val="3"/>
              <w:pageBreakBefore w:val="0"/>
              <w:numPr>
                <w:ilvl w:val="0"/>
                <w:numId w:val="0"/>
              </w:numPr>
              <w:kinsoku/>
              <w:wordWrap/>
              <w:overflowPunct/>
              <w:topLinePunct w:val="0"/>
              <w:autoSpaceDE/>
              <w:autoSpaceDN/>
              <w:bidi w:val="0"/>
              <w:adjustRightInd w:val="0"/>
              <w:snapToGrid w:val="0"/>
              <w:spacing w:before="0" w:after="0" w:line="360" w:lineRule="auto"/>
              <w:ind w:leftChars="0"/>
              <w:textAlignment w:val="auto"/>
              <w:rPr>
                <w:rFonts w:ascii="宋体" w:hAnsi="宋体" w:cs="Arial"/>
                <w:b w:val="0"/>
                <w:bCs w:val="0"/>
                <w:color w:val="auto"/>
                <w:sz w:val="21"/>
                <w:szCs w:val="21"/>
                <w:highlight w:val="none"/>
              </w:rPr>
            </w:pPr>
            <w:r>
              <w:rPr>
                <w:rFonts w:hint="eastAsia" w:ascii="宋体" w:hAnsi="宋体" w:eastAsia="宋体" w:cs="Arial"/>
                <w:b w:val="0"/>
                <w:bCs w:val="0"/>
                <w:color w:val="auto"/>
                <w:sz w:val="21"/>
                <w:szCs w:val="21"/>
                <w:highlight w:val="none"/>
                <w:lang w:val="en-US" w:eastAsia="zh-CN"/>
              </w:rPr>
              <w:t>2.2</w:t>
            </w:r>
            <w:r>
              <w:rPr>
                <w:rFonts w:hint="eastAsia" w:ascii="宋体" w:hAnsi="宋体" w:cs="Arial"/>
                <w:b w:val="0"/>
                <w:bCs w:val="0"/>
                <w:color w:val="auto"/>
                <w:sz w:val="21"/>
                <w:szCs w:val="21"/>
                <w:highlight w:val="none"/>
              </w:rPr>
              <w:t>药师审查时，可在审查界面一体化查看当前处方（医嘱）历史干预记录，如医生操作、用药理由等。</w:t>
            </w:r>
          </w:p>
          <w:p w14:paraId="5EFDD57F">
            <w:pPr>
              <w:pStyle w:val="3"/>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ascii="宋体" w:hAnsi="宋体" w:cs="Arial"/>
                <w:b w:val="0"/>
                <w:bCs w:val="0"/>
                <w:color w:val="auto"/>
                <w:sz w:val="21"/>
                <w:szCs w:val="21"/>
                <w:highlight w:val="none"/>
              </w:rPr>
            </w:pPr>
            <w:r>
              <w:rPr>
                <w:rFonts w:hint="eastAsia" w:ascii="宋体" w:hAnsi="宋体" w:cs="Arial"/>
                <w:b w:val="0"/>
                <w:bCs w:val="0"/>
                <w:color w:val="auto"/>
                <w:sz w:val="21"/>
                <w:szCs w:val="21"/>
                <w:highlight w:val="none"/>
                <w:lang w:val="en-US" w:eastAsia="zh-CN"/>
              </w:rPr>
              <w:t>2.3</w:t>
            </w:r>
            <w:r>
              <w:rPr>
                <w:rFonts w:hint="eastAsia" w:ascii="宋体" w:hAnsi="宋体" w:cs="Arial"/>
                <w:b w:val="0"/>
                <w:bCs w:val="0"/>
                <w:color w:val="auto"/>
                <w:sz w:val="21"/>
                <w:szCs w:val="21"/>
                <w:highlight w:val="none"/>
              </w:rPr>
              <w:t>药师审查时可查看当前处方（医嘱）历史修改版本信息。</w:t>
            </w:r>
          </w:p>
          <w:bookmarkEnd w:id="25"/>
          <w:p w14:paraId="267B25D2">
            <w:pPr>
              <w:pStyle w:val="3"/>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ascii="宋体" w:hAnsi="宋体" w:cs="Arial"/>
                <w:b w:val="0"/>
                <w:bCs w:val="0"/>
                <w:color w:val="auto"/>
                <w:sz w:val="21"/>
                <w:szCs w:val="21"/>
                <w:highlight w:val="none"/>
              </w:rPr>
            </w:pPr>
            <w:r>
              <w:rPr>
                <w:rFonts w:hint="eastAsia" w:ascii="宋体" w:hAnsi="宋体" w:cs="Arial"/>
                <w:b w:val="0"/>
                <w:bCs w:val="0"/>
                <w:color w:val="auto"/>
                <w:sz w:val="21"/>
                <w:szCs w:val="21"/>
                <w:highlight w:val="none"/>
                <w:lang w:val="en-US" w:eastAsia="zh-CN"/>
              </w:rPr>
              <w:t>2.4</w:t>
            </w:r>
            <w:r>
              <w:rPr>
                <w:rFonts w:hint="eastAsia" w:ascii="宋体" w:hAnsi="宋体" w:cs="Arial"/>
                <w:b w:val="0"/>
                <w:bCs w:val="0"/>
                <w:color w:val="auto"/>
                <w:sz w:val="21"/>
                <w:szCs w:val="21"/>
                <w:highlight w:val="none"/>
              </w:rPr>
              <w:t>药师可以根据不同任务情况选择医生处方（医嘱）直接双签通过还是需要药师复核。</w:t>
            </w:r>
          </w:p>
          <w:p w14:paraId="39FE2E8B">
            <w:pPr>
              <w:pStyle w:val="3"/>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ascii="宋体" w:hAnsi="宋体" w:cs="Arial"/>
                <w:b w:val="0"/>
                <w:bCs w:val="0"/>
                <w:color w:val="auto"/>
                <w:sz w:val="21"/>
                <w:szCs w:val="21"/>
                <w:highlight w:val="none"/>
              </w:rPr>
            </w:pPr>
            <w:r>
              <w:rPr>
                <w:rFonts w:hint="eastAsia" w:ascii="宋体" w:hAnsi="宋体" w:cs="Arial"/>
                <w:b w:val="0"/>
                <w:bCs w:val="0"/>
                <w:color w:val="auto"/>
                <w:sz w:val="21"/>
                <w:szCs w:val="21"/>
                <w:highlight w:val="none"/>
                <w:lang w:val="en-US" w:eastAsia="zh-CN"/>
              </w:rPr>
              <w:t>2.5</w:t>
            </w:r>
            <w:r>
              <w:rPr>
                <w:rFonts w:hint="eastAsia" w:ascii="宋体" w:hAnsi="宋体" w:cs="Arial"/>
                <w:b w:val="0"/>
                <w:bCs w:val="0"/>
                <w:color w:val="auto"/>
                <w:sz w:val="21"/>
                <w:szCs w:val="21"/>
                <w:highlight w:val="none"/>
              </w:rPr>
              <w:t>系统支持根据医生提交至药师处的中药处方智能检索近似经典方剂供药师参考。</w:t>
            </w:r>
          </w:p>
        </w:tc>
      </w:tr>
      <w:tr w14:paraId="5B95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760DF97B">
            <w:pPr>
              <w:pStyle w:val="13"/>
              <w:pageBreakBefore w:val="0"/>
              <w:numPr>
                <w:ilvl w:val="0"/>
                <w:numId w:val="7"/>
              </w:numPr>
              <w:kinsoku/>
              <w:wordWrap/>
              <w:overflowPunct/>
              <w:topLinePunct w:val="0"/>
              <w:autoSpaceDE/>
              <w:autoSpaceDN/>
              <w:bidi w:val="0"/>
              <w:adjustRightInd w:val="0"/>
              <w:snapToGrid w:val="0"/>
              <w:spacing w:line="360" w:lineRule="auto"/>
              <w:ind w:left="0" w:firstLine="0"/>
              <w:textAlignment w:val="auto"/>
              <w:rPr>
                <w:rFonts w:ascii="宋体" w:hAnsi="宋体" w:eastAsia="宋体"/>
                <w:color w:val="auto"/>
                <w:sz w:val="21"/>
                <w:szCs w:val="21"/>
                <w:highlight w:val="none"/>
              </w:rPr>
            </w:pPr>
          </w:p>
        </w:tc>
        <w:tc>
          <w:tcPr>
            <w:tcW w:w="1286" w:type="dxa"/>
            <w:vAlign w:val="center"/>
          </w:tcPr>
          <w:p w14:paraId="1B693341">
            <w:pPr>
              <w:pageBreakBefore w:val="0"/>
              <w:kinsoku/>
              <w:wordWrap/>
              <w:overflowPunct/>
              <w:topLinePunct w:val="0"/>
              <w:autoSpaceDE/>
              <w:autoSpaceDN/>
              <w:bidi w:val="0"/>
              <w:adjustRightInd w:val="0"/>
              <w:snapToGrid w:val="0"/>
              <w:spacing w:line="360" w:lineRule="auto"/>
              <w:textAlignment w:val="auto"/>
              <w:rPr>
                <w:rFonts w:ascii="宋体" w:hAnsi="宋体" w:eastAsia="宋体" w:cs="Arial"/>
                <w:color w:val="auto"/>
                <w:sz w:val="21"/>
                <w:szCs w:val="21"/>
                <w:highlight w:val="none"/>
              </w:rPr>
            </w:pPr>
            <w:r>
              <w:rPr>
                <w:rFonts w:hint="eastAsia" w:ascii="宋体" w:hAnsi="宋体" w:eastAsia="宋体" w:cs="Arial"/>
                <w:color w:val="auto"/>
                <w:sz w:val="21"/>
                <w:szCs w:val="21"/>
                <w:highlight w:val="none"/>
              </w:rPr>
              <w:t>质量评价功能</w:t>
            </w:r>
          </w:p>
        </w:tc>
        <w:tc>
          <w:tcPr>
            <w:tcW w:w="6276" w:type="dxa"/>
            <w:vAlign w:val="center"/>
          </w:tcPr>
          <w:p w14:paraId="040E21D1">
            <w:pPr>
              <w:pStyle w:val="3"/>
              <w:pageBreakBefore w:val="0"/>
              <w:numPr>
                <w:ilvl w:val="0"/>
                <w:numId w:val="8"/>
              </w:numPr>
              <w:kinsoku/>
              <w:wordWrap/>
              <w:overflowPunct/>
              <w:topLinePunct w:val="0"/>
              <w:autoSpaceDE/>
              <w:autoSpaceDN/>
              <w:bidi w:val="0"/>
              <w:adjustRightInd w:val="0"/>
              <w:snapToGrid w:val="0"/>
              <w:spacing w:before="0" w:after="0" w:line="360" w:lineRule="auto"/>
              <w:textAlignment w:val="auto"/>
              <w:rPr>
                <w:rFonts w:ascii="宋体" w:hAnsi="宋体" w:cs="Arial"/>
                <w:b w:val="0"/>
                <w:bCs w:val="0"/>
                <w:color w:val="auto"/>
                <w:sz w:val="21"/>
                <w:szCs w:val="21"/>
                <w:highlight w:val="none"/>
              </w:rPr>
            </w:pPr>
            <w:r>
              <w:rPr>
                <w:rFonts w:hint="eastAsia" w:ascii="宋体" w:hAnsi="宋体" w:cs="Arial"/>
                <w:b w:val="0"/>
                <w:bCs w:val="0"/>
                <w:color w:val="auto"/>
                <w:sz w:val="21"/>
                <w:szCs w:val="21"/>
                <w:highlight w:val="none"/>
              </w:rPr>
              <w:t>系统提供多种筛选方案设置功能，进行待评价任务筛选。评价人可对每个任务输入审核意见并打分。系统可自动生成任务评分表，并可导出到Excel。</w:t>
            </w:r>
          </w:p>
          <w:p w14:paraId="5F09F0BF">
            <w:pPr>
              <w:pStyle w:val="3"/>
              <w:pageBreakBefore w:val="0"/>
              <w:numPr>
                <w:ilvl w:val="0"/>
                <w:numId w:val="8"/>
              </w:numPr>
              <w:kinsoku/>
              <w:wordWrap/>
              <w:overflowPunct/>
              <w:topLinePunct w:val="0"/>
              <w:autoSpaceDE/>
              <w:autoSpaceDN/>
              <w:bidi w:val="0"/>
              <w:adjustRightInd w:val="0"/>
              <w:snapToGrid w:val="0"/>
              <w:spacing w:before="0" w:after="0" w:line="360" w:lineRule="auto"/>
              <w:textAlignment w:val="auto"/>
              <w:rPr>
                <w:rFonts w:ascii="宋体" w:hAnsi="宋体"/>
                <w:color w:val="auto"/>
                <w:sz w:val="21"/>
                <w:szCs w:val="21"/>
                <w:highlight w:val="none"/>
              </w:rPr>
            </w:pPr>
            <w:r>
              <w:rPr>
                <w:rFonts w:hint="eastAsia" w:ascii="宋体" w:hAnsi="宋体"/>
                <w:b w:val="0"/>
                <w:bCs w:val="0"/>
                <w:color w:val="auto"/>
                <w:sz w:val="21"/>
                <w:szCs w:val="21"/>
                <w:highlight w:val="none"/>
              </w:rPr>
              <w:t>评价人可评估历史审核任务并设置问题推荐处置方案，供审方药师审核同一问题时参考。</w:t>
            </w:r>
          </w:p>
        </w:tc>
      </w:tr>
      <w:tr w14:paraId="5258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23B72BDB">
            <w:pPr>
              <w:pStyle w:val="13"/>
              <w:pageBreakBefore w:val="0"/>
              <w:numPr>
                <w:ilvl w:val="0"/>
                <w:numId w:val="7"/>
              </w:numPr>
              <w:kinsoku/>
              <w:wordWrap/>
              <w:overflowPunct/>
              <w:topLinePunct w:val="0"/>
              <w:autoSpaceDE/>
              <w:autoSpaceDN/>
              <w:bidi w:val="0"/>
              <w:adjustRightInd w:val="0"/>
              <w:snapToGrid w:val="0"/>
              <w:spacing w:line="360" w:lineRule="auto"/>
              <w:ind w:left="0" w:firstLine="0"/>
              <w:textAlignment w:val="auto"/>
              <w:rPr>
                <w:rFonts w:ascii="宋体" w:hAnsi="宋体" w:eastAsia="宋体"/>
                <w:color w:val="auto"/>
                <w:sz w:val="21"/>
                <w:szCs w:val="21"/>
                <w:highlight w:val="none"/>
              </w:rPr>
            </w:pPr>
          </w:p>
        </w:tc>
        <w:tc>
          <w:tcPr>
            <w:tcW w:w="1286" w:type="dxa"/>
            <w:vAlign w:val="center"/>
          </w:tcPr>
          <w:p w14:paraId="5A56B686">
            <w:pPr>
              <w:pageBreakBefore w:val="0"/>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审方干预自定义功能</w:t>
            </w:r>
          </w:p>
        </w:tc>
        <w:tc>
          <w:tcPr>
            <w:tcW w:w="6276" w:type="dxa"/>
            <w:vAlign w:val="center"/>
          </w:tcPr>
          <w:p w14:paraId="2BA042B8">
            <w:pPr>
              <w:pStyle w:val="13"/>
              <w:pageBreakBefore w:val="0"/>
              <w:numPr>
                <w:ilvl w:val="0"/>
                <w:numId w:val="9"/>
              </w:numPr>
              <w:kinsoku/>
              <w:wordWrap/>
              <w:overflowPunct/>
              <w:topLinePunct w:val="0"/>
              <w:autoSpaceDE/>
              <w:autoSpaceDN/>
              <w:bidi w:val="0"/>
              <w:adjustRightInd w:val="0"/>
              <w:snapToGrid w:val="0"/>
              <w:spacing w:line="360" w:lineRule="auto"/>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可将任意科室、医生、患者、疾病、药品设置为重点关注，可按科室、医生、患者、疾病、药品、问题类型、警示级别多条件组合设置重点关注，包含重点关注信息的处方由药师进行全面审查。</w:t>
            </w:r>
          </w:p>
          <w:p w14:paraId="176D77F3">
            <w:pPr>
              <w:pStyle w:val="13"/>
              <w:pageBreakBefore w:val="0"/>
              <w:numPr>
                <w:ilvl w:val="0"/>
                <w:numId w:val="9"/>
              </w:numPr>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r>
              <w:rPr>
                <w:rFonts w:hint="eastAsia" w:ascii="宋体" w:hAnsi="宋体" w:eastAsia="宋体" w:cs="Arial"/>
                <w:bCs/>
                <w:color w:val="auto"/>
                <w:sz w:val="21"/>
                <w:szCs w:val="21"/>
                <w:highlight w:val="none"/>
              </w:rPr>
              <w:t>用户可根据使用习惯进行个性化设置，如任务提示音（支持上传），处置按钮顺序及样式，审方界面字体及颜色，发送给医生的常用语等。</w:t>
            </w:r>
          </w:p>
          <w:p w14:paraId="2DD15B98">
            <w:pPr>
              <w:pStyle w:val="13"/>
              <w:pageBreakBefore w:val="0"/>
              <w:numPr>
                <w:ilvl w:val="0"/>
                <w:numId w:val="9"/>
              </w:numPr>
              <w:kinsoku/>
              <w:wordWrap/>
              <w:overflowPunct/>
              <w:topLinePunct w:val="0"/>
              <w:autoSpaceDE/>
              <w:autoSpaceDN/>
              <w:bidi w:val="0"/>
              <w:adjustRightInd w:val="0"/>
              <w:snapToGrid w:val="0"/>
              <w:spacing w:line="360" w:lineRule="auto"/>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用户可设置自动干预模式，并设置医生填写用药理由的模式。药师不在岗时，系统自动干预，医生填写用药理由后方可执行，支持全院和分科室设置。</w:t>
            </w:r>
          </w:p>
        </w:tc>
      </w:tr>
      <w:tr w14:paraId="219C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01FCA241">
            <w:pPr>
              <w:pStyle w:val="13"/>
              <w:pageBreakBefore w:val="0"/>
              <w:numPr>
                <w:ilvl w:val="0"/>
                <w:numId w:val="7"/>
              </w:numPr>
              <w:kinsoku/>
              <w:wordWrap/>
              <w:overflowPunct/>
              <w:topLinePunct w:val="0"/>
              <w:autoSpaceDE/>
              <w:autoSpaceDN/>
              <w:bidi w:val="0"/>
              <w:adjustRightInd w:val="0"/>
              <w:snapToGrid w:val="0"/>
              <w:spacing w:line="360" w:lineRule="auto"/>
              <w:ind w:left="0" w:firstLine="0"/>
              <w:textAlignment w:val="auto"/>
              <w:rPr>
                <w:rFonts w:ascii="宋体" w:hAnsi="宋体" w:eastAsia="宋体"/>
                <w:color w:val="auto"/>
                <w:sz w:val="21"/>
                <w:szCs w:val="21"/>
                <w:highlight w:val="none"/>
              </w:rPr>
            </w:pPr>
          </w:p>
        </w:tc>
        <w:tc>
          <w:tcPr>
            <w:tcW w:w="1286" w:type="dxa"/>
            <w:vAlign w:val="center"/>
          </w:tcPr>
          <w:p w14:paraId="3BFCEA4D">
            <w:pPr>
              <w:pageBreakBefore w:val="0"/>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患者信息查看</w:t>
            </w:r>
          </w:p>
        </w:tc>
        <w:tc>
          <w:tcPr>
            <w:tcW w:w="6276" w:type="dxa"/>
            <w:vAlign w:val="center"/>
          </w:tcPr>
          <w:p w14:paraId="13888507">
            <w:pPr>
              <w:pStyle w:val="13"/>
              <w:pageBreakBefore w:val="0"/>
              <w:numPr>
                <w:ilvl w:val="0"/>
                <w:numId w:val="10"/>
              </w:numPr>
              <w:kinsoku/>
              <w:wordWrap/>
              <w:overflowPunct/>
              <w:topLinePunct w:val="0"/>
              <w:autoSpaceDE/>
              <w:autoSpaceDN/>
              <w:bidi w:val="0"/>
              <w:adjustRightInd w:val="0"/>
              <w:snapToGrid w:val="0"/>
              <w:spacing w:line="360" w:lineRule="auto"/>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药师审方界面：可查看患者基本信息、患者过敏史、手术信息、检验检查信息、会诊信息，检验结果异常项可单独显示。可链接EMR系统查看患者详细信息。</w:t>
            </w:r>
          </w:p>
          <w:p w14:paraId="57A952B6">
            <w:pPr>
              <w:pStyle w:val="13"/>
              <w:pageBreakBefore w:val="0"/>
              <w:numPr>
                <w:ilvl w:val="0"/>
                <w:numId w:val="10"/>
              </w:numPr>
              <w:kinsoku/>
              <w:wordWrap/>
              <w:overflowPunct/>
              <w:topLinePunct w:val="0"/>
              <w:autoSpaceDE/>
              <w:autoSpaceDN/>
              <w:bidi w:val="0"/>
              <w:adjustRightInd w:val="0"/>
              <w:snapToGrid w:val="0"/>
              <w:spacing w:line="360" w:lineRule="auto"/>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可标记门诊特殊病人。</w:t>
            </w:r>
          </w:p>
          <w:p w14:paraId="66916E70">
            <w:pPr>
              <w:pStyle w:val="13"/>
              <w:pageBreakBefore w:val="0"/>
              <w:numPr>
                <w:ilvl w:val="0"/>
                <w:numId w:val="10"/>
              </w:numPr>
              <w:kinsoku/>
              <w:wordWrap/>
              <w:overflowPunct/>
              <w:topLinePunct w:val="0"/>
              <w:autoSpaceDE/>
              <w:autoSpaceDN/>
              <w:bidi w:val="0"/>
              <w:adjustRightInd w:val="0"/>
              <w:snapToGrid w:val="0"/>
              <w:spacing w:line="360" w:lineRule="auto"/>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可标记慢病处方。</w:t>
            </w:r>
          </w:p>
          <w:p w14:paraId="21F97FC3">
            <w:pPr>
              <w:pStyle w:val="13"/>
              <w:pageBreakBefore w:val="0"/>
              <w:numPr>
                <w:ilvl w:val="0"/>
                <w:numId w:val="10"/>
              </w:numPr>
              <w:kinsoku/>
              <w:wordWrap/>
              <w:overflowPunct/>
              <w:topLinePunct w:val="0"/>
              <w:autoSpaceDE/>
              <w:autoSpaceDN/>
              <w:bidi w:val="0"/>
              <w:adjustRightInd w:val="0"/>
              <w:snapToGrid w:val="0"/>
              <w:spacing w:line="360" w:lineRule="auto"/>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药师审查时可查看当前患者的其他处方。</w:t>
            </w:r>
          </w:p>
        </w:tc>
      </w:tr>
      <w:tr w14:paraId="722A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011E0849">
            <w:pPr>
              <w:pStyle w:val="13"/>
              <w:pageBreakBefore w:val="0"/>
              <w:numPr>
                <w:ilvl w:val="0"/>
                <w:numId w:val="7"/>
              </w:numPr>
              <w:kinsoku/>
              <w:wordWrap/>
              <w:overflowPunct/>
              <w:topLinePunct w:val="0"/>
              <w:autoSpaceDE/>
              <w:autoSpaceDN/>
              <w:bidi w:val="0"/>
              <w:adjustRightInd w:val="0"/>
              <w:snapToGrid w:val="0"/>
              <w:spacing w:line="360" w:lineRule="auto"/>
              <w:ind w:left="0" w:firstLine="0"/>
              <w:textAlignment w:val="auto"/>
              <w:rPr>
                <w:rFonts w:ascii="宋体" w:hAnsi="宋体" w:eastAsia="宋体"/>
                <w:color w:val="auto"/>
                <w:sz w:val="21"/>
                <w:szCs w:val="21"/>
                <w:highlight w:val="none"/>
              </w:rPr>
            </w:pPr>
          </w:p>
        </w:tc>
        <w:tc>
          <w:tcPr>
            <w:tcW w:w="1286" w:type="dxa"/>
            <w:vAlign w:val="center"/>
          </w:tcPr>
          <w:p w14:paraId="46E83B85">
            <w:pPr>
              <w:pageBreakBefore w:val="0"/>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系统审查</w:t>
            </w:r>
          </w:p>
        </w:tc>
        <w:tc>
          <w:tcPr>
            <w:tcW w:w="6276" w:type="dxa"/>
            <w:vAlign w:val="center"/>
          </w:tcPr>
          <w:p w14:paraId="6A0B795E">
            <w:pPr>
              <w:pStyle w:val="13"/>
              <w:pageBreakBefore w:val="0"/>
              <w:numPr>
                <w:ilvl w:val="0"/>
                <w:numId w:val="0"/>
              </w:numPr>
              <w:kinsoku/>
              <w:wordWrap/>
              <w:overflowPunct/>
              <w:topLinePunct w:val="0"/>
              <w:autoSpaceDE/>
              <w:autoSpaceDN/>
              <w:bidi w:val="0"/>
              <w:adjustRightInd w:val="0"/>
              <w:snapToGrid w:val="0"/>
              <w:spacing w:line="360" w:lineRule="auto"/>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审查项目、规则等应与医院当前在用医生端审方系统保持一致，并能实现无缝对接，即药师端可查看医生端审方系统的详细审查结果信息，同时药师审核问题标准可按医生端审方系统的审查项目和问题级别进行设置。</w:t>
            </w:r>
          </w:p>
        </w:tc>
      </w:tr>
      <w:tr w14:paraId="1109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7D6DA973">
            <w:pPr>
              <w:pStyle w:val="13"/>
              <w:pageBreakBefore w:val="0"/>
              <w:numPr>
                <w:ilvl w:val="0"/>
                <w:numId w:val="7"/>
              </w:numPr>
              <w:kinsoku/>
              <w:wordWrap/>
              <w:overflowPunct/>
              <w:topLinePunct w:val="0"/>
              <w:autoSpaceDE/>
              <w:autoSpaceDN/>
              <w:bidi w:val="0"/>
              <w:adjustRightInd w:val="0"/>
              <w:snapToGrid w:val="0"/>
              <w:spacing w:line="360" w:lineRule="auto"/>
              <w:ind w:left="0" w:firstLine="0"/>
              <w:textAlignment w:val="auto"/>
              <w:rPr>
                <w:rFonts w:ascii="宋体" w:hAnsi="宋体" w:eastAsia="宋体"/>
                <w:color w:val="auto"/>
                <w:sz w:val="21"/>
                <w:szCs w:val="21"/>
                <w:highlight w:val="none"/>
              </w:rPr>
            </w:pPr>
          </w:p>
        </w:tc>
        <w:tc>
          <w:tcPr>
            <w:tcW w:w="1286" w:type="dxa"/>
            <w:vAlign w:val="center"/>
          </w:tcPr>
          <w:p w14:paraId="4ABFBAA4">
            <w:pPr>
              <w:pageBreakBefore w:val="0"/>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统计分析</w:t>
            </w:r>
          </w:p>
        </w:tc>
        <w:tc>
          <w:tcPr>
            <w:tcW w:w="6276" w:type="dxa"/>
            <w:vAlign w:val="center"/>
          </w:tcPr>
          <w:p w14:paraId="5E5B3D3D">
            <w:pPr>
              <w:pStyle w:val="13"/>
              <w:pageBreakBefore w:val="0"/>
              <w:numPr>
                <w:ilvl w:val="0"/>
                <w:numId w:val="11"/>
              </w:numPr>
              <w:kinsoku/>
              <w:wordWrap/>
              <w:overflowPunct/>
              <w:topLinePunct w:val="0"/>
              <w:autoSpaceDE/>
              <w:autoSpaceDN/>
              <w:bidi w:val="0"/>
              <w:adjustRightInd w:val="0"/>
              <w:snapToGrid w:val="0"/>
              <w:spacing w:line="360" w:lineRule="auto"/>
              <w:ind w:left="420" w:hanging="420"/>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可以分别统计门诊、住院任务的审核率、干预率、合格率等重要指标，并可提供统计图。可按照科室、医生、药品、药师、药物类进行干预情况分类统计。</w:t>
            </w:r>
          </w:p>
        </w:tc>
      </w:tr>
      <w:tr w14:paraId="55F0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3C2A2BB6">
            <w:pPr>
              <w:pStyle w:val="13"/>
              <w:pageBreakBefore w:val="0"/>
              <w:numPr>
                <w:ilvl w:val="0"/>
                <w:numId w:val="7"/>
              </w:numPr>
              <w:kinsoku/>
              <w:wordWrap/>
              <w:overflowPunct/>
              <w:topLinePunct w:val="0"/>
              <w:autoSpaceDE/>
              <w:autoSpaceDN/>
              <w:bidi w:val="0"/>
              <w:adjustRightInd w:val="0"/>
              <w:snapToGrid w:val="0"/>
              <w:spacing w:line="360" w:lineRule="auto"/>
              <w:ind w:left="0" w:firstLine="0"/>
              <w:textAlignment w:val="auto"/>
              <w:rPr>
                <w:rFonts w:ascii="宋体" w:hAnsi="宋体" w:eastAsia="宋体"/>
                <w:color w:val="auto"/>
                <w:sz w:val="21"/>
                <w:szCs w:val="21"/>
                <w:highlight w:val="none"/>
              </w:rPr>
            </w:pPr>
          </w:p>
        </w:tc>
        <w:tc>
          <w:tcPr>
            <w:tcW w:w="1286" w:type="dxa"/>
            <w:vAlign w:val="center"/>
          </w:tcPr>
          <w:p w14:paraId="34871522">
            <w:pPr>
              <w:pageBreakBefore w:val="0"/>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r>
              <w:rPr>
                <w:rFonts w:ascii="宋体" w:hAnsi="宋体" w:eastAsia="宋体"/>
                <w:color w:val="auto"/>
                <w:sz w:val="21"/>
                <w:szCs w:val="21"/>
                <w:highlight w:val="none"/>
              </w:rPr>
              <w:t>区域审方</w:t>
            </w:r>
          </w:p>
        </w:tc>
        <w:tc>
          <w:tcPr>
            <w:tcW w:w="6276" w:type="dxa"/>
            <w:vAlign w:val="center"/>
          </w:tcPr>
          <w:p w14:paraId="44B0460C">
            <w:pPr>
              <w:pageBreakBefore w:val="0"/>
              <w:kinsoku/>
              <w:wordWrap/>
              <w:overflowPunct/>
              <w:topLinePunct w:val="0"/>
              <w:autoSpaceDE/>
              <w:autoSpaceDN/>
              <w:bidi w:val="0"/>
              <w:adjustRightInd w:val="0"/>
              <w:snapToGrid w:val="0"/>
              <w:spacing w:line="360" w:lineRule="auto"/>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8.1支持审方中心的药师收到多家机构的处方/医嘱，进行集中审方。</w:t>
            </w:r>
          </w:p>
          <w:p w14:paraId="632D6825">
            <w:pPr>
              <w:pageBreakBefore w:val="0"/>
              <w:kinsoku/>
              <w:wordWrap/>
              <w:overflowPunct/>
              <w:topLinePunct w:val="0"/>
              <w:autoSpaceDE/>
              <w:autoSpaceDN/>
              <w:bidi w:val="0"/>
              <w:adjustRightInd w:val="0"/>
              <w:snapToGrid w:val="0"/>
              <w:spacing w:line="360" w:lineRule="auto"/>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8.2药师审方时，可查看患者在区域内其他机构就诊的处方，并且可查看到审方处置意见推荐。</w:t>
            </w:r>
          </w:p>
          <w:p w14:paraId="14049E2D">
            <w:pPr>
              <w:pageBreakBefore w:val="0"/>
              <w:kinsoku/>
              <w:wordWrap/>
              <w:overflowPunct/>
              <w:topLinePunct w:val="0"/>
              <w:autoSpaceDE/>
              <w:autoSpaceDN/>
              <w:bidi w:val="0"/>
              <w:adjustRightInd w:val="0"/>
              <w:snapToGrid w:val="0"/>
              <w:spacing w:line="360" w:lineRule="auto"/>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8.3可对区域内药师审方结果进行质量评价和一致性评价。</w:t>
            </w:r>
          </w:p>
          <w:p w14:paraId="064FEE9C">
            <w:pPr>
              <w:pageBreakBefore w:val="0"/>
              <w:kinsoku/>
              <w:wordWrap/>
              <w:overflowPunct/>
              <w:topLinePunct w:val="0"/>
              <w:autoSpaceDE/>
              <w:autoSpaceDN/>
              <w:bidi w:val="0"/>
              <w:adjustRightInd w:val="0"/>
              <w:snapToGrid w:val="0"/>
              <w:spacing w:line="360" w:lineRule="auto"/>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8.4支持区域审方情况数据合并统计，也支持分机构单独统计。</w:t>
            </w:r>
          </w:p>
        </w:tc>
      </w:tr>
      <w:tr w14:paraId="54C7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217" w:type="dxa"/>
            <w:gridSpan w:val="3"/>
            <w:vAlign w:val="center"/>
          </w:tcPr>
          <w:p w14:paraId="62C21555">
            <w:pPr>
              <w:pStyle w:val="13"/>
              <w:pageBreakBefore w:val="0"/>
              <w:numPr>
                <w:ilvl w:val="0"/>
                <w:numId w:val="3"/>
              </w:numPr>
              <w:kinsoku/>
              <w:wordWrap/>
              <w:overflowPunct/>
              <w:topLinePunct w:val="0"/>
              <w:autoSpaceDE/>
              <w:autoSpaceDN/>
              <w:bidi w:val="0"/>
              <w:adjustRightInd w:val="0"/>
              <w:snapToGrid w:val="0"/>
              <w:spacing w:line="360" w:lineRule="auto"/>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处方点评功能要求</w:t>
            </w:r>
          </w:p>
        </w:tc>
      </w:tr>
      <w:tr w14:paraId="1E85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42606770">
            <w:pPr>
              <w:pStyle w:val="13"/>
              <w:pageBreakBefore w:val="0"/>
              <w:numPr>
                <w:ilvl w:val="0"/>
                <w:numId w:val="12"/>
              </w:numPr>
              <w:kinsoku/>
              <w:wordWrap/>
              <w:overflowPunct/>
              <w:topLinePunct w:val="0"/>
              <w:autoSpaceDE/>
              <w:autoSpaceDN/>
              <w:bidi w:val="0"/>
              <w:adjustRightInd w:val="0"/>
              <w:snapToGrid w:val="0"/>
              <w:spacing w:line="360" w:lineRule="auto"/>
              <w:ind w:left="420" w:leftChars="0" w:hanging="420" w:firstLineChars="0"/>
              <w:textAlignment w:val="auto"/>
              <w:rPr>
                <w:rFonts w:ascii="宋体" w:hAnsi="宋体" w:eastAsia="宋体"/>
                <w:color w:val="auto"/>
                <w:sz w:val="21"/>
                <w:szCs w:val="21"/>
                <w:highlight w:val="none"/>
              </w:rPr>
            </w:pPr>
          </w:p>
        </w:tc>
        <w:tc>
          <w:tcPr>
            <w:tcW w:w="1286" w:type="dxa"/>
            <w:vAlign w:val="center"/>
          </w:tcPr>
          <w:p w14:paraId="71ACFCC5">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Arial"/>
                <w:color w:val="auto"/>
                <w:sz w:val="21"/>
                <w:szCs w:val="21"/>
                <w:highlight w:val="none"/>
              </w:rPr>
            </w:pPr>
            <w:r>
              <w:rPr>
                <w:rFonts w:ascii="宋体" w:hAnsi="宋体" w:eastAsia="宋体"/>
                <w:color w:val="auto"/>
                <w:sz w:val="21"/>
                <w:szCs w:val="21"/>
                <w:highlight w:val="none"/>
              </w:rPr>
              <w:t>共享档案</w:t>
            </w:r>
          </w:p>
        </w:tc>
        <w:tc>
          <w:tcPr>
            <w:tcW w:w="6276" w:type="dxa"/>
            <w:vAlign w:val="center"/>
          </w:tcPr>
          <w:p w14:paraId="1B55CA47">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Arial"/>
                <w:bCs/>
                <w:color w:val="auto"/>
                <w:sz w:val="21"/>
                <w:szCs w:val="21"/>
                <w:highlight w:val="none"/>
              </w:rPr>
            </w:pPr>
            <w:r>
              <w:rPr>
                <w:rFonts w:ascii="宋体" w:hAnsi="宋体" w:eastAsia="宋体"/>
                <w:color w:val="auto"/>
                <w:sz w:val="21"/>
                <w:szCs w:val="21"/>
                <w:highlight w:val="none"/>
              </w:rPr>
              <w:t>系统应提供区域患者共享档案，包括患者在各医疗机构的个人信息、健康摘要、医嘱、</w:t>
            </w:r>
            <w:r>
              <w:rPr>
                <w:rFonts w:hint="eastAsia" w:ascii="宋体" w:hAnsi="宋体" w:eastAsia="宋体"/>
                <w:color w:val="auto"/>
                <w:sz w:val="21"/>
                <w:szCs w:val="21"/>
                <w:highlight w:val="none"/>
              </w:rPr>
              <w:t>检验</w:t>
            </w:r>
            <w:r>
              <w:rPr>
                <w:rFonts w:ascii="宋体" w:hAnsi="宋体" w:eastAsia="宋体"/>
                <w:color w:val="auto"/>
                <w:sz w:val="21"/>
                <w:szCs w:val="21"/>
                <w:highlight w:val="none"/>
              </w:rPr>
              <w:t>、检查等信息</w:t>
            </w:r>
          </w:p>
        </w:tc>
      </w:tr>
      <w:tr w14:paraId="60710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7314E870">
            <w:pPr>
              <w:pStyle w:val="13"/>
              <w:pageBreakBefore w:val="0"/>
              <w:numPr>
                <w:ilvl w:val="0"/>
                <w:numId w:val="12"/>
              </w:numPr>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p>
        </w:tc>
        <w:tc>
          <w:tcPr>
            <w:tcW w:w="1286" w:type="dxa"/>
            <w:vAlign w:val="center"/>
          </w:tcPr>
          <w:p w14:paraId="2791046E">
            <w:pPr>
              <w:pageBreakBefore w:val="0"/>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r>
              <w:rPr>
                <w:rFonts w:hint="eastAsia" w:ascii="宋体" w:hAnsi="宋体" w:eastAsia="宋体" w:cs="Arial"/>
                <w:color w:val="auto"/>
                <w:sz w:val="21"/>
                <w:szCs w:val="21"/>
                <w:highlight w:val="none"/>
              </w:rPr>
              <w:t>处方点评</w:t>
            </w:r>
          </w:p>
        </w:tc>
        <w:tc>
          <w:tcPr>
            <w:tcW w:w="6276" w:type="dxa"/>
            <w:vAlign w:val="center"/>
          </w:tcPr>
          <w:p w14:paraId="06C338B7">
            <w:pPr>
              <w:pageBreakBefore w:val="0"/>
              <w:numPr>
                <w:ilvl w:val="0"/>
                <w:numId w:val="0"/>
              </w:numPr>
              <w:kinsoku/>
              <w:wordWrap/>
              <w:overflowPunct/>
              <w:topLinePunct w:val="0"/>
              <w:autoSpaceDE/>
              <w:autoSpaceDN/>
              <w:bidi w:val="0"/>
              <w:adjustRightInd w:val="0"/>
              <w:snapToGrid w:val="0"/>
              <w:spacing w:line="360" w:lineRule="auto"/>
              <w:ind w:leftChars="0"/>
              <w:jc w:val="both"/>
              <w:textAlignment w:val="auto"/>
              <w:outlineLvl w:val="3"/>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lang w:val="en-US" w:eastAsia="zh-CN"/>
              </w:rPr>
              <w:t>2.1</w:t>
            </w:r>
            <w:r>
              <w:rPr>
                <w:rFonts w:hint="eastAsia" w:ascii="宋体" w:hAnsi="宋体" w:eastAsia="宋体" w:cs="Arial"/>
                <w:bCs/>
                <w:color w:val="auto"/>
                <w:sz w:val="21"/>
                <w:szCs w:val="21"/>
                <w:highlight w:val="none"/>
              </w:rPr>
              <w:t>系统应结合《医院处方点评管理规范（试行）》、《处方管理办法》、《处方点评监测网工作手册》、《三级综合医院评审标准实施细则》、《药事管理专业医疗质量控制指标》、《抗菌药物临床指导原则》等处方点评相关政策要求，实现对医院处方（医嘱）的电子化评价功能。</w:t>
            </w:r>
          </w:p>
          <w:p w14:paraId="70127240">
            <w:pPr>
              <w:pageBreakBefore w:val="0"/>
              <w:numPr>
                <w:ilvl w:val="0"/>
                <w:numId w:val="0"/>
              </w:numPr>
              <w:kinsoku/>
              <w:wordWrap/>
              <w:overflowPunct/>
              <w:topLinePunct w:val="0"/>
              <w:autoSpaceDE/>
              <w:autoSpaceDN/>
              <w:bidi w:val="0"/>
              <w:adjustRightInd w:val="0"/>
              <w:snapToGrid w:val="0"/>
              <w:spacing w:line="360" w:lineRule="auto"/>
              <w:ind w:leftChars="0"/>
              <w:jc w:val="both"/>
              <w:textAlignment w:val="auto"/>
              <w:outlineLvl w:val="3"/>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lang w:val="en-US" w:eastAsia="zh-CN"/>
              </w:rPr>
              <w:t>2.2</w:t>
            </w:r>
            <w:r>
              <w:rPr>
                <w:rFonts w:hint="eastAsia" w:ascii="宋体" w:hAnsi="宋体" w:eastAsia="宋体" w:cs="Arial"/>
                <w:bCs/>
                <w:color w:val="auto"/>
                <w:sz w:val="21"/>
                <w:szCs w:val="21"/>
                <w:highlight w:val="none"/>
              </w:rPr>
              <w:t>系统应能对处方（医嘱）用药进行剂量审查、累积剂量审查、超多日用量审查、给药途径审查、相互作用审查、体外注射剂配伍审查、配伍浓度审查、钾离子监测、</w:t>
            </w:r>
            <w:r>
              <w:rPr>
                <w:rFonts w:ascii="宋体" w:hAnsi="宋体" w:eastAsia="宋体" w:cs="Arial"/>
                <w:bCs/>
                <w:color w:val="auto"/>
                <w:sz w:val="21"/>
                <w:szCs w:val="21"/>
                <w:highlight w:val="none"/>
              </w:rPr>
              <w:t>TPN处方审查、门诊输液审查、禁忌症审查、不良反应审查、特殊人群（儿童、成人、老人、妊娠、哺乳、性别）用药审查、重复用药审查、适应症审查、</w:t>
            </w:r>
            <w:r>
              <w:rPr>
                <w:rFonts w:hint="eastAsia" w:ascii="宋体" w:hAnsi="宋体" w:eastAsia="宋体" w:cs="Arial"/>
                <w:bCs/>
                <w:color w:val="auto"/>
                <w:sz w:val="21"/>
                <w:szCs w:val="21"/>
                <w:highlight w:val="none"/>
              </w:rPr>
              <w:t>药物过敏审查、药物检验值审查、规范性审查、医保审查、越权用药审查、围术期用药审查，并提供审查规则自定义功能，使得点评结果更加符合医院实际用药情况。</w:t>
            </w:r>
          </w:p>
          <w:p w14:paraId="16138EC8">
            <w:pPr>
              <w:pageBreakBefore w:val="0"/>
              <w:numPr>
                <w:ilvl w:val="0"/>
                <w:numId w:val="0"/>
              </w:numPr>
              <w:kinsoku/>
              <w:wordWrap/>
              <w:overflowPunct/>
              <w:topLinePunct w:val="0"/>
              <w:autoSpaceDE/>
              <w:autoSpaceDN/>
              <w:bidi w:val="0"/>
              <w:adjustRightInd w:val="0"/>
              <w:snapToGrid w:val="0"/>
              <w:spacing w:line="360" w:lineRule="auto"/>
              <w:ind w:leftChars="0"/>
              <w:jc w:val="both"/>
              <w:textAlignment w:val="auto"/>
              <w:outlineLvl w:val="3"/>
              <w:rPr>
                <w:rFonts w:hint="eastAsia" w:ascii="宋体" w:hAnsi="宋体" w:eastAsia="宋体" w:cs="Arial"/>
                <w:bCs/>
                <w:color w:val="auto"/>
                <w:sz w:val="21"/>
                <w:szCs w:val="21"/>
                <w:highlight w:val="none"/>
              </w:rPr>
            </w:pPr>
            <w:r>
              <w:rPr>
                <w:rFonts w:hint="eastAsia" w:ascii="宋体" w:hAnsi="宋体" w:eastAsia="宋体" w:cs="Arial"/>
                <w:bCs/>
                <w:color w:val="auto"/>
                <w:sz w:val="21"/>
                <w:szCs w:val="21"/>
                <w:highlight w:val="none"/>
                <w:lang w:val="en-US" w:eastAsia="zh-CN"/>
              </w:rPr>
              <w:t>2.3</w:t>
            </w:r>
            <w:r>
              <w:rPr>
                <w:rFonts w:hint="eastAsia" w:ascii="宋体" w:hAnsi="宋体" w:eastAsia="宋体" w:cs="Arial"/>
                <w:bCs/>
                <w:color w:val="auto"/>
                <w:sz w:val="21"/>
                <w:szCs w:val="21"/>
                <w:highlight w:val="none"/>
              </w:rPr>
              <w:t>系统应能实现从抽样、分配、求助、专家复核、反馈医生、医生申述、药师审结的点评闭环管理，并在点评求助、复核完毕、反馈医生、医生申述的环节进行消息提示。</w:t>
            </w:r>
          </w:p>
          <w:p w14:paraId="21019F6A">
            <w:pPr>
              <w:pageBreakBefore w:val="0"/>
              <w:numPr>
                <w:ilvl w:val="0"/>
                <w:numId w:val="0"/>
              </w:numPr>
              <w:kinsoku/>
              <w:wordWrap/>
              <w:overflowPunct/>
              <w:topLinePunct w:val="0"/>
              <w:autoSpaceDE/>
              <w:autoSpaceDN/>
              <w:bidi w:val="0"/>
              <w:adjustRightInd w:val="0"/>
              <w:snapToGrid w:val="0"/>
              <w:spacing w:line="360" w:lineRule="auto"/>
              <w:ind w:leftChars="0"/>
              <w:jc w:val="both"/>
              <w:textAlignment w:val="auto"/>
              <w:outlineLvl w:val="3"/>
              <w:rPr>
                <w:rFonts w:hint="eastAsia" w:ascii="宋体" w:hAnsi="宋体" w:eastAsia="宋体" w:cs="Arial"/>
                <w:bCs/>
                <w:color w:val="auto"/>
                <w:sz w:val="21"/>
                <w:szCs w:val="21"/>
                <w:highlight w:val="none"/>
              </w:rPr>
            </w:pPr>
            <w:r>
              <w:rPr>
                <w:rFonts w:hint="eastAsia" w:ascii="宋体" w:hAnsi="宋体" w:eastAsia="宋体" w:cs="Arial"/>
                <w:bCs/>
                <w:color w:val="auto"/>
                <w:sz w:val="21"/>
                <w:szCs w:val="21"/>
                <w:highlight w:val="none"/>
                <w:lang w:val="en-US" w:eastAsia="zh-CN"/>
              </w:rPr>
              <w:t>2.4</w:t>
            </w:r>
            <w:r>
              <w:rPr>
                <w:rFonts w:hint="eastAsia" w:ascii="宋体" w:hAnsi="宋体" w:eastAsia="宋体" w:cs="Arial"/>
                <w:bCs/>
                <w:color w:val="auto"/>
                <w:sz w:val="21"/>
                <w:szCs w:val="21"/>
                <w:highlight w:val="none"/>
              </w:rPr>
              <w:t>系统应支持点评任务随机分配、按管辖科室、药品分配，点评人只能查看自己相关的任务，无权查看他人的任务信息。</w:t>
            </w:r>
          </w:p>
          <w:p w14:paraId="0F4F142F">
            <w:pPr>
              <w:pageBreakBefore w:val="0"/>
              <w:numPr>
                <w:ilvl w:val="0"/>
                <w:numId w:val="0"/>
              </w:numPr>
              <w:kinsoku/>
              <w:wordWrap/>
              <w:overflowPunct/>
              <w:topLinePunct w:val="0"/>
              <w:autoSpaceDE/>
              <w:autoSpaceDN/>
              <w:bidi w:val="0"/>
              <w:adjustRightInd w:val="0"/>
              <w:snapToGrid w:val="0"/>
              <w:spacing w:line="360" w:lineRule="auto"/>
              <w:ind w:leftChars="0"/>
              <w:jc w:val="both"/>
              <w:textAlignment w:val="auto"/>
              <w:outlineLvl w:val="3"/>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lang w:val="en-US" w:eastAsia="zh-CN"/>
              </w:rPr>
              <w:t>2.5</w:t>
            </w:r>
            <w:r>
              <w:rPr>
                <w:rFonts w:hint="eastAsia" w:ascii="宋体" w:hAnsi="宋体" w:eastAsia="宋体" w:cs="Arial"/>
                <w:bCs/>
                <w:color w:val="auto"/>
                <w:sz w:val="21"/>
                <w:szCs w:val="21"/>
                <w:highlight w:val="none"/>
              </w:rPr>
              <w:t>系统应提供双盲点评，在需要时隐藏医生、药师的姓名。</w:t>
            </w:r>
          </w:p>
          <w:p w14:paraId="36DC06E4">
            <w:pPr>
              <w:pageBreakBefore w:val="0"/>
              <w:numPr>
                <w:ilvl w:val="0"/>
                <w:numId w:val="0"/>
              </w:numPr>
              <w:kinsoku/>
              <w:wordWrap/>
              <w:overflowPunct/>
              <w:topLinePunct w:val="0"/>
              <w:autoSpaceDE/>
              <w:autoSpaceDN/>
              <w:bidi w:val="0"/>
              <w:adjustRightInd w:val="0"/>
              <w:snapToGrid w:val="0"/>
              <w:spacing w:line="360" w:lineRule="auto"/>
              <w:ind w:leftChars="0"/>
              <w:jc w:val="both"/>
              <w:textAlignment w:val="auto"/>
              <w:outlineLvl w:val="3"/>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lang w:val="en-US" w:eastAsia="zh-CN"/>
              </w:rPr>
              <w:t>2.6</w:t>
            </w:r>
            <w:r>
              <w:rPr>
                <w:rFonts w:hint="eastAsia" w:ascii="宋体" w:hAnsi="宋体" w:eastAsia="宋体" w:cs="Arial"/>
                <w:bCs/>
                <w:color w:val="auto"/>
                <w:sz w:val="21"/>
                <w:szCs w:val="21"/>
                <w:highlight w:val="none"/>
              </w:rPr>
              <w:t>系统应提供逾期设置，规定医生处理点评结果的时间期限。</w:t>
            </w:r>
          </w:p>
          <w:p w14:paraId="76DD5B9A">
            <w:pPr>
              <w:pageBreakBefore w:val="0"/>
              <w:numPr>
                <w:ilvl w:val="0"/>
                <w:numId w:val="0"/>
              </w:numPr>
              <w:kinsoku/>
              <w:wordWrap/>
              <w:overflowPunct/>
              <w:topLinePunct w:val="0"/>
              <w:autoSpaceDE/>
              <w:autoSpaceDN/>
              <w:bidi w:val="0"/>
              <w:adjustRightInd w:val="0"/>
              <w:snapToGrid w:val="0"/>
              <w:spacing w:line="360" w:lineRule="auto"/>
              <w:ind w:leftChars="0"/>
              <w:jc w:val="both"/>
              <w:textAlignment w:val="auto"/>
              <w:outlineLvl w:val="3"/>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lang w:val="en-US" w:eastAsia="zh-CN"/>
              </w:rPr>
              <w:t>2.7</w:t>
            </w:r>
            <w:r>
              <w:rPr>
                <w:rFonts w:hint="eastAsia" w:ascii="宋体" w:hAnsi="宋体" w:eastAsia="宋体" w:cs="Arial"/>
                <w:bCs/>
                <w:color w:val="auto"/>
                <w:sz w:val="21"/>
                <w:szCs w:val="21"/>
                <w:highlight w:val="none"/>
              </w:rPr>
              <w:t>系统应能自定义点评模板及点评点，实现个性化点评需求。</w:t>
            </w:r>
          </w:p>
          <w:p w14:paraId="7F17BBC8">
            <w:pPr>
              <w:pageBreakBefore w:val="0"/>
              <w:numPr>
                <w:ilvl w:val="0"/>
                <w:numId w:val="0"/>
              </w:numPr>
              <w:kinsoku/>
              <w:wordWrap/>
              <w:overflowPunct/>
              <w:topLinePunct w:val="0"/>
              <w:autoSpaceDE/>
              <w:autoSpaceDN/>
              <w:bidi w:val="0"/>
              <w:adjustRightInd w:val="0"/>
              <w:snapToGrid w:val="0"/>
              <w:spacing w:line="360" w:lineRule="auto"/>
              <w:ind w:leftChars="0"/>
              <w:jc w:val="both"/>
              <w:textAlignment w:val="auto"/>
              <w:outlineLvl w:val="3"/>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lang w:val="en-US" w:eastAsia="zh-CN"/>
              </w:rPr>
              <w:t>2.8</w:t>
            </w:r>
            <w:r>
              <w:rPr>
                <w:rFonts w:hint="eastAsia" w:ascii="宋体" w:hAnsi="宋体" w:eastAsia="宋体" w:cs="Arial"/>
                <w:bCs/>
                <w:color w:val="auto"/>
                <w:sz w:val="21"/>
                <w:szCs w:val="21"/>
                <w:highlight w:val="none"/>
              </w:rPr>
              <w:t>系统应能自动生成住院患者用药联用图，直观查看药品使用（联用）情况，联用图支持自定义。</w:t>
            </w:r>
          </w:p>
          <w:p w14:paraId="1FB04F0A">
            <w:pPr>
              <w:pageBreakBefore w:val="0"/>
              <w:numPr>
                <w:ilvl w:val="0"/>
                <w:numId w:val="0"/>
              </w:numPr>
              <w:kinsoku/>
              <w:wordWrap/>
              <w:overflowPunct/>
              <w:topLinePunct w:val="0"/>
              <w:autoSpaceDE/>
              <w:autoSpaceDN/>
              <w:bidi w:val="0"/>
              <w:adjustRightInd w:val="0"/>
              <w:snapToGrid w:val="0"/>
              <w:spacing w:line="360" w:lineRule="auto"/>
              <w:ind w:leftChars="0"/>
              <w:jc w:val="both"/>
              <w:textAlignment w:val="auto"/>
              <w:outlineLvl w:val="3"/>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lang w:val="en-US" w:eastAsia="zh-CN"/>
              </w:rPr>
              <w:t>2.9</w:t>
            </w:r>
            <w:r>
              <w:rPr>
                <w:rFonts w:hint="eastAsia" w:ascii="宋体" w:hAnsi="宋体" w:eastAsia="宋体" w:cs="Arial"/>
                <w:bCs/>
                <w:color w:val="auto"/>
                <w:sz w:val="21"/>
                <w:szCs w:val="21"/>
                <w:highlight w:val="none"/>
              </w:rPr>
              <w:t>系统应能自动生成住院患者时序图，包括患者体征（体温、脉搏、呼吸、疼痛评分、血糖、出</w:t>
            </w:r>
            <w:r>
              <w:rPr>
                <w:rFonts w:ascii="宋体" w:hAnsi="宋体" w:eastAsia="宋体" w:cs="Arial"/>
                <w:bCs/>
                <w:color w:val="auto"/>
                <w:sz w:val="21"/>
                <w:szCs w:val="21"/>
                <w:highlight w:val="none"/>
              </w:rPr>
              <w:t>/入量、血压）</w:t>
            </w:r>
            <w:r>
              <w:rPr>
                <w:rFonts w:hint="eastAsia" w:ascii="宋体" w:hAnsi="宋体" w:eastAsia="宋体" w:cs="Arial"/>
                <w:bCs/>
                <w:color w:val="auto"/>
                <w:sz w:val="21"/>
                <w:szCs w:val="21"/>
                <w:highlight w:val="none"/>
              </w:rPr>
              <w:t>、用药、手术和检验信息，时序图支持自定义。</w:t>
            </w:r>
          </w:p>
          <w:p w14:paraId="227A2ACD">
            <w:pPr>
              <w:pageBreakBefore w:val="0"/>
              <w:numPr>
                <w:ilvl w:val="0"/>
                <w:numId w:val="0"/>
              </w:numPr>
              <w:kinsoku/>
              <w:wordWrap/>
              <w:overflowPunct/>
              <w:topLinePunct w:val="0"/>
              <w:autoSpaceDE/>
              <w:autoSpaceDN/>
              <w:bidi w:val="0"/>
              <w:adjustRightInd w:val="0"/>
              <w:snapToGrid w:val="0"/>
              <w:spacing w:line="360" w:lineRule="auto"/>
              <w:ind w:leftChars="0"/>
              <w:jc w:val="both"/>
              <w:textAlignment w:val="auto"/>
              <w:outlineLvl w:val="3"/>
              <w:rPr>
                <w:rFonts w:hint="eastAsia" w:ascii="宋体" w:hAnsi="宋体" w:eastAsia="宋体" w:cs="Arial"/>
                <w:bCs/>
                <w:color w:val="auto"/>
                <w:sz w:val="21"/>
                <w:szCs w:val="21"/>
                <w:highlight w:val="none"/>
              </w:rPr>
            </w:pPr>
            <w:r>
              <w:rPr>
                <w:rFonts w:hint="eastAsia" w:ascii="宋体" w:hAnsi="宋体" w:eastAsia="宋体" w:cs="Arial"/>
                <w:bCs/>
                <w:color w:val="auto"/>
                <w:sz w:val="21"/>
                <w:szCs w:val="21"/>
                <w:highlight w:val="none"/>
                <w:lang w:val="en-US" w:eastAsia="zh-CN"/>
              </w:rPr>
              <w:t>2.10</w:t>
            </w:r>
            <w:r>
              <w:rPr>
                <w:rFonts w:hint="eastAsia" w:ascii="宋体" w:hAnsi="宋体" w:eastAsia="宋体" w:cs="Arial"/>
                <w:bCs/>
                <w:color w:val="auto"/>
                <w:sz w:val="21"/>
                <w:szCs w:val="21"/>
                <w:highlight w:val="none"/>
              </w:rPr>
              <w:t>系统应能高亮显示被点评药品，当选择某一（类）药品时，将其成组药品一并显示。</w:t>
            </w:r>
          </w:p>
          <w:p w14:paraId="345D0465">
            <w:pPr>
              <w:pageBreakBefore w:val="0"/>
              <w:numPr>
                <w:ilvl w:val="0"/>
                <w:numId w:val="0"/>
              </w:numPr>
              <w:kinsoku/>
              <w:wordWrap/>
              <w:overflowPunct/>
              <w:topLinePunct w:val="0"/>
              <w:autoSpaceDE/>
              <w:autoSpaceDN/>
              <w:bidi w:val="0"/>
              <w:adjustRightInd w:val="0"/>
              <w:snapToGrid w:val="0"/>
              <w:spacing w:line="360" w:lineRule="auto"/>
              <w:ind w:leftChars="0"/>
              <w:jc w:val="both"/>
              <w:textAlignment w:val="auto"/>
              <w:outlineLvl w:val="3"/>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lang w:val="en-US" w:eastAsia="zh-CN"/>
              </w:rPr>
              <w:t>2.11</w:t>
            </w:r>
            <w:r>
              <w:rPr>
                <w:rFonts w:hint="eastAsia" w:ascii="宋体" w:hAnsi="宋体" w:eastAsia="宋体" w:cs="Arial"/>
                <w:bCs/>
                <w:color w:val="auto"/>
                <w:sz w:val="21"/>
                <w:szCs w:val="21"/>
                <w:highlight w:val="none"/>
              </w:rPr>
              <w:t>系统应支持处方（医嘱）批量点评，应能将点评结果反馈医生或科主任，医生（工作站）可直接填写申述理由或确认，无需登录系统查看点评结果。</w:t>
            </w:r>
          </w:p>
          <w:p w14:paraId="4FDB718F">
            <w:pPr>
              <w:pageBreakBefore w:val="0"/>
              <w:numPr>
                <w:ilvl w:val="0"/>
                <w:numId w:val="0"/>
              </w:numPr>
              <w:kinsoku/>
              <w:wordWrap/>
              <w:overflowPunct/>
              <w:topLinePunct w:val="0"/>
              <w:autoSpaceDE/>
              <w:autoSpaceDN/>
              <w:bidi w:val="0"/>
              <w:adjustRightInd w:val="0"/>
              <w:snapToGrid w:val="0"/>
              <w:spacing w:line="360" w:lineRule="auto"/>
              <w:ind w:leftChars="0"/>
              <w:jc w:val="both"/>
              <w:textAlignment w:val="auto"/>
              <w:outlineLvl w:val="3"/>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lang w:val="en-US" w:eastAsia="zh-CN"/>
              </w:rPr>
              <w:t>2.12</w:t>
            </w:r>
            <w:r>
              <w:rPr>
                <w:rFonts w:hint="eastAsia" w:ascii="宋体" w:hAnsi="宋体" w:eastAsia="宋体" w:cs="Arial"/>
                <w:bCs/>
                <w:color w:val="auto"/>
                <w:sz w:val="21"/>
                <w:szCs w:val="21"/>
                <w:highlight w:val="none"/>
              </w:rPr>
              <w:t>系统应支持增补处方或病人，将需要的处方或病人批量添加至点评任务中。</w:t>
            </w:r>
          </w:p>
          <w:p w14:paraId="58D1582A">
            <w:pPr>
              <w:pageBreakBefore w:val="0"/>
              <w:numPr>
                <w:ilvl w:val="0"/>
                <w:numId w:val="0"/>
              </w:numPr>
              <w:kinsoku/>
              <w:wordWrap/>
              <w:overflowPunct/>
              <w:topLinePunct w:val="0"/>
              <w:autoSpaceDE/>
              <w:autoSpaceDN/>
              <w:bidi w:val="0"/>
              <w:adjustRightInd w:val="0"/>
              <w:snapToGrid w:val="0"/>
              <w:spacing w:line="360" w:lineRule="auto"/>
              <w:ind w:leftChars="0"/>
              <w:jc w:val="both"/>
              <w:textAlignment w:val="auto"/>
              <w:outlineLvl w:val="3"/>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lang w:val="en-US" w:eastAsia="zh-CN"/>
              </w:rPr>
              <w:t>2.13</w:t>
            </w:r>
            <w:r>
              <w:rPr>
                <w:rFonts w:hint="eastAsia" w:ascii="宋体" w:hAnsi="宋体" w:eastAsia="宋体" w:cs="Arial"/>
                <w:bCs/>
                <w:color w:val="auto"/>
                <w:sz w:val="21"/>
                <w:szCs w:val="21"/>
                <w:highlight w:val="none"/>
              </w:rPr>
              <w:t>系统应能自动生成点评工作表、点评结果统计表、存在问题统计表、点评结果差异明细表、点评问题明细表。点评相关报表支持自定义显示和导出字段。</w:t>
            </w:r>
          </w:p>
          <w:p w14:paraId="6071E1D7">
            <w:pPr>
              <w:pageBreakBefore w:val="0"/>
              <w:numPr>
                <w:ilvl w:val="0"/>
                <w:numId w:val="0"/>
              </w:numPr>
              <w:kinsoku/>
              <w:wordWrap/>
              <w:overflowPunct/>
              <w:topLinePunct w:val="0"/>
              <w:autoSpaceDE/>
              <w:autoSpaceDN/>
              <w:bidi w:val="0"/>
              <w:adjustRightInd w:val="0"/>
              <w:snapToGrid w:val="0"/>
              <w:spacing w:line="360" w:lineRule="auto"/>
              <w:ind w:leftChars="0"/>
              <w:jc w:val="both"/>
              <w:textAlignment w:val="auto"/>
              <w:outlineLvl w:val="3"/>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lang w:val="en-US" w:eastAsia="zh-CN"/>
              </w:rPr>
              <w:t>2.14</w:t>
            </w:r>
            <w:r>
              <w:rPr>
                <w:rFonts w:hint="eastAsia" w:ascii="宋体" w:hAnsi="宋体" w:eastAsia="宋体" w:cs="Arial"/>
                <w:bCs/>
                <w:color w:val="auto"/>
                <w:sz w:val="21"/>
                <w:szCs w:val="21"/>
                <w:highlight w:val="none"/>
              </w:rPr>
              <w:t>系统应能自动生成个人任务完成情况表、点评任务完成情况表、医生反馈统计表、点评结果汇总统计表等管理报表。</w:t>
            </w:r>
          </w:p>
          <w:p w14:paraId="1859FF21">
            <w:pPr>
              <w:pageBreakBefore w:val="0"/>
              <w:numPr>
                <w:ilvl w:val="0"/>
                <w:numId w:val="0"/>
              </w:numPr>
              <w:kinsoku/>
              <w:wordWrap/>
              <w:overflowPunct/>
              <w:topLinePunct w:val="0"/>
              <w:autoSpaceDE/>
              <w:autoSpaceDN/>
              <w:bidi w:val="0"/>
              <w:adjustRightInd w:val="0"/>
              <w:snapToGrid w:val="0"/>
              <w:spacing w:line="360" w:lineRule="auto"/>
              <w:ind w:leftChars="0"/>
              <w:jc w:val="both"/>
              <w:textAlignment w:val="auto"/>
              <w:outlineLvl w:val="3"/>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lang w:val="en-US" w:eastAsia="zh-CN"/>
              </w:rPr>
              <w:t>2.15</w:t>
            </w:r>
            <w:r>
              <w:rPr>
                <w:rFonts w:hint="eastAsia" w:ascii="宋体" w:hAnsi="宋体" w:eastAsia="宋体" w:cs="Arial"/>
                <w:bCs/>
                <w:color w:val="auto"/>
                <w:sz w:val="21"/>
                <w:szCs w:val="21"/>
                <w:highlight w:val="none"/>
              </w:rPr>
              <w:t>系统应包含以下点评模块：</w:t>
            </w:r>
          </w:p>
          <w:p w14:paraId="09815158">
            <w:pPr>
              <w:pageBreakBefore w:val="0"/>
              <w:kinsoku/>
              <w:wordWrap/>
              <w:overflowPunct/>
              <w:topLinePunct w:val="0"/>
              <w:autoSpaceDE/>
              <w:autoSpaceDN/>
              <w:bidi w:val="0"/>
              <w:adjustRightInd w:val="0"/>
              <w:snapToGrid w:val="0"/>
              <w:spacing w:line="360" w:lineRule="auto"/>
              <w:ind w:firstLine="210" w:firstLineChars="100"/>
              <w:jc w:val="both"/>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w:t>
            </w:r>
            <w:r>
              <w:rPr>
                <w:rFonts w:ascii="宋体" w:hAnsi="宋体" w:eastAsia="宋体" w:cs="Arial"/>
                <w:bCs/>
                <w:color w:val="auto"/>
                <w:sz w:val="21"/>
                <w:szCs w:val="21"/>
                <w:highlight w:val="none"/>
              </w:rPr>
              <w:t>1）</w:t>
            </w:r>
            <w:r>
              <w:rPr>
                <w:rFonts w:ascii="宋体" w:hAnsi="宋体" w:eastAsia="宋体" w:cs="Arial"/>
                <w:bCs/>
                <w:color w:val="auto"/>
                <w:sz w:val="21"/>
                <w:szCs w:val="21"/>
                <w:highlight w:val="none"/>
              </w:rPr>
              <w:tab/>
            </w:r>
            <w:r>
              <w:rPr>
                <w:rFonts w:hint="eastAsia" w:ascii="宋体" w:hAnsi="宋体" w:eastAsia="宋体" w:cs="Arial"/>
                <w:bCs/>
                <w:color w:val="auto"/>
                <w:sz w:val="21"/>
                <w:szCs w:val="21"/>
                <w:highlight w:val="none"/>
              </w:rPr>
              <w:t>全处方点评</w:t>
            </w:r>
          </w:p>
          <w:p w14:paraId="43EF4938">
            <w:pPr>
              <w:pageBreakBefore w:val="0"/>
              <w:kinsoku/>
              <w:wordWrap/>
              <w:overflowPunct/>
              <w:topLinePunct w:val="0"/>
              <w:autoSpaceDE/>
              <w:autoSpaceDN/>
              <w:bidi w:val="0"/>
              <w:adjustRightInd w:val="0"/>
              <w:snapToGrid w:val="0"/>
              <w:spacing w:line="360" w:lineRule="auto"/>
              <w:ind w:firstLine="210" w:firstLineChars="100"/>
              <w:jc w:val="both"/>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w:t>
            </w:r>
            <w:r>
              <w:rPr>
                <w:rFonts w:ascii="宋体" w:hAnsi="宋体" w:eastAsia="宋体" w:cs="Arial"/>
                <w:bCs/>
                <w:color w:val="auto"/>
                <w:sz w:val="21"/>
                <w:szCs w:val="21"/>
                <w:highlight w:val="none"/>
              </w:rPr>
              <w:t>2）</w:t>
            </w:r>
            <w:r>
              <w:rPr>
                <w:rFonts w:ascii="宋体" w:hAnsi="宋体" w:eastAsia="宋体" w:cs="Arial"/>
                <w:bCs/>
                <w:color w:val="auto"/>
                <w:sz w:val="21"/>
                <w:szCs w:val="21"/>
                <w:highlight w:val="none"/>
              </w:rPr>
              <w:tab/>
            </w:r>
            <w:r>
              <w:rPr>
                <w:rFonts w:hint="eastAsia" w:ascii="宋体" w:hAnsi="宋体" w:eastAsia="宋体" w:cs="Arial"/>
                <w:bCs/>
                <w:color w:val="auto"/>
                <w:sz w:val="21"/>
                <w:szCs w:val="21"/>
                <w:highlight w:val="none"/>
              </w:rPr>
              <w:t>全医嘱点评</w:t>
            </w:r>
          </w:p>
          <w:p w14:paraId="0CF85803">
            <w:pPr>
              <w:pageBreakBefore w:val="0"/>
              <w:kinsoku/>
              <w:wordWrap/>
              <w:overflowPunct/>
              <w:topLinePunct w:val="0"/>
              <w:autoSpaceDE/>
              <w:autoSpaceDN/>
              <w:bidi w:val="0"/>
              <w:adjustRightInd w:val="0"/>
              <w:snapToGrid w:val="0"/>
              <w:spacing w:line="360" w:lineRule="auto"/>
              <w:ind w:firstLine="210" w:firstLineChars="100"/>
              <w:jc w:val="both"/>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w:t>
            </w:r>
            <w:r>
              <w:rPr>
                <w:rFonts w:ascii="宋体" w:hAnsi="宋体" w:eastAsia="宋体" w:cs="Arial"/>
                <w:bCs/>
                <w:color w:val="auto"/>
                <w:sz w:val="21"/>
                <w:szCs w:val="21"/>
                <w:highlight w:val="none"/>
              </w:rPr>
              <w:t>3）</w:t>
            </w:r>
            <w:r>
              <w:rPr>
                <w:rFonts w:ascii="宋体" w:hAnsi="宋体" w:eastAsia="宋体" w:cs="Arial"/>
                <w:bCs/>
                <w:color w:val="auto"/>
                <w:sz w:val="21"/>
                <w:szCs w:val="21"/>
                <w:highlight w:val="none"/>
              </w:rPr>
              <w:tab/>
            </w:r>
            <w:r>
              <w:rPr>
                <w:rFonts w:hint="eastAsia" w:ascii="宋体" w:hAnsi="宋体" w:eastAsia="宋体" w:cs="Arial"/>
                <w:bCs/>
                <w:color w:val="auto"/>
                <w:sz w:val="21"/>
                <w:szCs w:val="21"/>
                <w:highlight w:val="none"/>
              </w:rPr>
              <w:t>门急诊</w:t>
            </w:r>
            <w:r>
              <w:rPr>
                <w:rFonts w:ascii="宋体" w:hAnsi="宋体" w:eastAsia="宋体" w:cs="Arial"/>
                <w:bCs/>
                <w:color w:val="auto"/>
                <w:sz w:val="21"/>
                <w:szCs w:val="21"/>
                <w:highlight w:val="none"/>
              </w:rPr>
              <w:t>/住院抗菌药物专项点评，</w:t>
            </w:r>
            <w:r>
              <w:rPr>
                <w:rFonts w:hint="eastAsia" w:ascii="宋体" w:hAnsi="宋体" w:eastAsia="宋体" w:cs="Arial"/>
                <w:bCs/>
                <w:color w:val="auto"/>
                <w:sz w:val="21"/>
                <w:szCs w:val="21"/>
                <w:highlight w:val="none"/>
              </w:rPr>
              <w:t>含药物选择不合适、无适应症、药物选择不符合抗菌药物分级管理、联合用药不适宜、更换药物不适宜、用药效果欠佳等点评点</w:t>
            </w:r>
          </w:p>
          <w:p w14:paraId="434AB4ED">
            <w:pPr>
              <w:pageBreakBefore w:val="0"/>
              <w:kinsoku/>
              <w:wordWrap/>
              <w:overflowPunct/>
              <w:topLinePunct w:val="0"/>
              <w:autoSpaceDE/>
              <w:autoSpaceDN/>
              <w:bidi w:val="0"/>
              <w:adjustRightInd w:val="0"/>
              <w:snapToGrid w:val="0"/>
              <w:spacing w:line="360" w:lineRule="auto"/>
              <w:ind w:firstLine="210" w:firstLineChars="100"/>
              <w:jc w:val="both"/>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w:t>
            </w:r>
            <w:r>
              <w:rPr>
                <w:rFonts w:ascii="宋体" w:hAnsi="宋体" w:eastAsia="宋体" w:cs="Arial"/>
                <w:bCs/>
                <w:color w:val="auto"/>
                <w:sz w:val="21"/>
                <w:szCs w:val="21"/>
                <w:highlight w:val="none"/>
              </w:rPr>
              <w:t>4）</w:t>
            </w:r>
            <w:r>
              <w:rPr>
                <w:rFonts w:ascii="宋体" w:hAnsi="宋体" w:eastAsia="宋体" w:cs="Arial"/>
                <w:bCs/>
                <w:color w:val="auto"/>
                <w:sz w:val="21"/>
                <w:szCs w:val="21"/>
                <w:highlight w:val="none"/>
              </w:rPr>
              <w:tab/>
            </w:r>
            <w:r>
              <w:rPr>
                <w:rFonts w:hint="eastAsia" w:ascii="宋体" w:hAnsi="宋体" w:eastAsia="宋体" w:cs="Arial"/>
                <w:bCs/>
                <w:color w:val="auto"/>
                <w:sz w:val="21"/>
                <w:szCs w:val="21"/>
                <w:highlight w:val="none"/>
              </w:rPr>
              <w:t>围手术期抗菌药物专项点评，含选药不合理、预防药物更换不合理、术前给药时机不合理、术中用药不合理、手术预防用药疗程不合理等点评点</w:t>
            </w:r>
          </w:p>
          <w:p w14:paraId="156A260C">
            <w:pPr>
              <w:pageBreakBefore w:val="0"/>
              <w:kinsoku/>
              <w:wordWrap/>
              <w:overflowPunct/>
              <w:topLinePunct w:val="0"/>
              <w:autoSpaceDE/>
              <w:autoSpaceDN/>
              <w:bidi w:val="0"/>
              <w:adjustRightInd w:val="0"/>
              <w:snapToGrid w:val="0"/>
              <w:spacing w:line="360" w:lineRule="auto"/>
              <w:ind w:firstLine="210" w:firstLineChars="100"/>
              <w:jc w:val="both"/>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w:t>
            </w:r>
            <w:r>
              <w:rPr>
                <w:rFonts w:ascii="宋体" w:hAnsi="宋体" w:eastAsia="宋体" w:cs="Arial"/>
                <w:bCs/>
                <w:color w:val="auto"/>
                <w:sz w:val="21"/>
                <w:szCs w:val="21"/>
                <w:highlight w:val="none"/>
              </w:rPr>
              <w:t>5）</w:t>
            </w:r>
            <w:r>
              <w:rPr>
                <w:rFonts w:ascii="宋体" w:hAnsi="宋体" w:eastAsia="宋体" w:cs="Arial"/>
                <w:bCs/>
                <w:color w:val="auto"/>
                <w:sz w:val="21"/>
                <w:szCs w:val="21"/>
                <w:highlight w:val="none"/>
              </w:rPr>
              <w:tab/>
            </w:r>
            <w:r>
              <w:rPr>
                <w:rFonts w:hint="eastAsia" w:ascii="宋体" w:hAnsi="宋体" w:eastAsia="宋体" w:cs="Arial"/>
                <w:bCs/>
                <w:color w:val="auto"/>
                <w:sz w:val="21"/>
                <w:szCs w:val="21"/>
                <w:highlight w:val="none"/>
              </w:rPr>
              <w:t>门急诊</w:t>
            </w:r>
            <w:r>
              <w:rPr>
                <w:rFonts w:ascii="宋体" w:hAnsi="宋体" w:eastAsia="宋体" w:cs="Arial"/>
                <w:bCs/>
                <w:color w:val="auto"/>
                <w:sz w:val="21"/>
                <w:szCs w:val="21"/>
                <w:highlight w:val="none"/>
              </w:rPr>
              <w:t>/住院</w:t>
            </w:r>
            <w:r>
              <w:rPr>
                <w:rFonts w:hint="eastAsia" w:ascii="宋体" w:hAnsi="宋体" w:eastAsia="宋体" w:cs="Arial"/>
                <w:bCs/>
                <w:color w:val="auto"/>
                <w:sz w:val="21"/>
                <w:szCs w:val="21"/>
                <w:highlight w:val="none"/>
              </w:rPr>
              <w:t>专项药品点评，可点评任意（类）药品</w:t>
            </w:r>
          </w:p>
          <w:p w14:paraId="424F3407">
            <w:pPr>
              <w:pageBreakBefore w:val="0"/>
              <w:kinsoku/>
              <w:wordWrap/>
              <w:overflowPunct/>
              <w:topLinePunct w:val="0"/>
              <w:autoSpaceDE/>
              <w:autoSpaceDN/>
              <w:bidi w:val="0"/>
              <w:adjustRightInd w:val="0"/>
              <w:snapToGrid w:val="0"/>
              <w:spacing w:line="360" w:lineRule="auto"/>
              <w:ind w:firstLine="210" w:firstLineChars="100"/>
              <w:jc w:val="both"/>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w:t>
            </w:r>
            <w:r>
              <w:rPr>
                <w:rFonts w:ascii="宋体" w:hAnsi="宋体" w:eastAsia="宋体" w:cs="Arial"/>
                <w:bCs/>
                <w:color w:val="auto"/>
                <w:sz w:val="21"/>
                <w:szCs w:val="21"/>
                <w:highlight w:val="none"/>
              </w:rPr>
              <w:t>6）</w:t>
            </w:r>
            <w:r>
              <w:rPr>
                <w:rFonts w:ascii="宋体" w:hAnsi="宋体" w:eastAsia="宋体" w:cs="Arial"/>
                <w:bCs/>
                <w:color w:val="auto"/>
                <w:sz w:val="21"/>
                <w:szCs w:val="21"/>
                <w:highlight w:val="none"/>
              </w:rPr>
              <w:tab/>
            </w:r>
            <w:r>
              <w:rPr>
                <w:rFonts w:hint="eastAsia" w:ascii="宋体" w:hAnsi="宋体" w:eastAsia="宋体" w:cs="Arial"/>
                <w:bCs/>
                <w:color w:val="auto"/>
                <w:sz w:val="21"/>
                <w:szCs w:val="21"/>
                <w:highlight w:val="none"/>
              </w:rPr>
              <w:t>门急诊</w:t>
            </w:r>
            <w:r>
              <w:rPr>
                <w:rFonts w:ascii="宋体" w:hAnsi="宋体" w:eastAsia="宋体" w:cs="Arial"/>
                <w:bCs/>
                <w:color w:val="auto"/>
                <w:sz w:val="21"/>
                <w:szCs w:val="21"/>
                <w:highlight w:val="none"/>
              </w:rPr>
              <w:t>/住院抗肿瘤药物专项点评，含</w:t>
            </w:r>
            <w:r>
              <w:rPr>
                <w:rFonts w:hint="eastAsia" w:ascii="宋体" w:hAnsi="宋体" w:eastAsia="宋体" w:cs="Arial"/>
                <w:bCs/>
                <w:color w:val="auto"/>
                <w:sz w:val="21"/>
                <w:szCs w:val="21"/>
                <w:highlight w:val="none"/>
              </w:rPr>
              <w:t>医师超权限使用抗肿瘤药、用药顺序错误、化疗方案不合理等点评点</w:t>
            </w:r>
          </w:p>
          <w:p w14:paraId="74E003DE">
            <w:pPr>
              <w:pageBreakBefore w:val="0"/>
              <w:kinsoku/>
              <w:wordWrap/>
              <w:overflowPunct/>
              <w:topLinePunct w:val="0"/>
              <w:autoSpaceDE/>
              <w:autoSpaceDN/>
              <w:bidi w:val="0"/>
              <w:adjustRightInd w:val="0"/>
              <w:snapToGrid w:val="0"/>
              <w:spacing w:line="360" w:lineRule="auto"/>
              <w:ind w:firstLine="210" w:firstLineChars="100"/>
              <w:jc w:val="both"/>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w:t>
            </w:r>
            <w:r>
              <w:rPr>
                <w:rFonts w:ascii="宋体" w:hAnsi="宋体" w:eastAsia="宋体" w:cs="Arial"/>
                <w:bCs/>
                <w:color w:val="auto"/>
                <w:sz w:val="21"/>
                <w:szCs w:val="21"/>
                <w:highlight w:val="none"/>
              </w:rPr>
              <w:t>7）</w:t>
            </w:r>
            <w:r>
              <w:rPr>
                <w:rFonts w:ascii="宋体" w:hAnsi="宋体" w:eastAsia="宋体" w:cs="Arial"/>
                <w:bCs/>
                <w:color w:val="auto"/>
                <w:sz w:val="21"/>
                <w:szCs w:val="21"/>
                <w:highlight w:val="none"/>
              </w:rPr>
              <w:tab/>
            </w:r>
            <w:r>
              <w:rPr>
                <w:rFonts w:hint="eastAsia" w:ascii="宋体" w:hAnsi="宋体" w:eastAsia="宋体" w:cs="Arial"/>
                <w:bCs/>
                <w:color w:val="auto"/>
                <w:sz w:val="21"/>
                <w:szCs w:val="21"/>
                <w:highlight w:val="none"/>
              </w:rPr>
              <w:t>住院病人特殊级抗菌药物专项点评</w:t>
            </w:r>
          </w:p>
          <w:p w14:paraId="4A248A1E">
            <w:pPr>
              <w:pageBreakBefore w:val="0"/>
              <w:kinsoku/>
              <w:wordWrap/>
              <w:overflowPunct/>
              <w:topLinePunct w:val="0"/>
              <w:autoSpaceDE/>
              <w:autoSpaceDN/>
              <w:bidi w:val="0"/>
              <w:adjustRightInd w:val="0"/>
              <w:snapToGrid w:val="0"/>
              <w:spacing w:line="360" w:lineRule="auto"/>
              <w:ind w:firstLine="210" w:firstLineChars="100"/>
              <w:jc w:val="both"/>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w:t>
            </w:r>
            <w:r>
              <w:rPr>
                <w:rFonts w:ascii="宋体" w:hAnsi="宋体" w:eastAsia="宋体" w:cs="Arial"/>
                <w:bCs/>
                <w:color w:val="auto"/>
                <w:sz w:val="21"/>
                <w:szCs w:val="21"/>
                <w:highlight w:val="none"/>
              </w:rPr>
              <w:t>8）</w:t>
            </w:r>
            <w:r>
              <w:rPr>
                <w:rFonts w:ascii="宋体" w:hAnsi="宋体" w:eastAsia="宋体" w:cs="Arial"/>
                <w:bCs/>
                <w:color w:val="auto"/>
                <w:sz w:val="21"/>
                <w:szCs w:val="21"/>
                <w:highlight w:val="none"/>
              </w:rPr>
              <w:tab/>
            </w:r>
            <w:r>
              <w:rPr>
                <w:rFonts w:ascii="宋体" w:hAnsi="宋体" w:eastAsia="宋体" w:cs="Arial"/>
                <w:bCs/>
                <w:color w:val="auto"/>
                <w:sz w:val="21"/>
                <w:szCs w:val="21"/>
                <w:highlight w:val="none"/>
              </w:rPr>
              <w:t>住院病人碳青霉烯类及</w:t>
            </w:r>
            <w:r>
              <w:rPr>
                <w:rFonts w:hint="eastAsia" w:ascii="宋体" w:hAnsi="宋体" w:eastAsia="宋体" w:cs="Arial"/>
                <w:bCs/>
                <w:color w:val="auto"/>
                <w:sz w:val="21"/>
                <w:szCs w:val="21"/>
                <w:highlight w:val="none"/>
              </w:rPr>
              <w:t>替加环素专项点评，应能针对适应证、品种选择、用法用量及配伍、病原学及疗效评估、用药权限与会诊等评价项目进行人工评价及自动扣分</w:t>
            </w:r>
          </w:p>
          <w:p w14:paraId="2E779639">
            <w:pPr>
              <w:pageBreakBefore w:val="0"/>
              <w:kinsoku/>
              <w:wordWrap/>
              <w:overflowPunct/>
              <w:topLinePunct w:val="0"/>
              <w:autoSpaceDE/>
              <w:autoSpaceDN/>
              <w:bidi w:val="0"/>
              <w:adjustRightInd w:val="0"/>
              <w:snapToGrid w:val="0"/>
              <w:spacing w:line="360" w:lineRule="auto"/>
              <w:ind w:firstLine="210" w:firstLineChars="100"/>
              <w:jc w:val="both"/>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w:t>
            </w:r>
            <w:r>
              <w:rPr>
                <w:rFonts w:ascii="宋体" w:hAnsi="宋体" w:eastAsia="宋体" w:cs="Arial"/>
                <w:bCs/>
                <w:color w:val="auto"/>
                <w:sz w:val="21"/>
                <w:szCs w:val="21"/>
                <w:highlight w:val="none"/>
              </w:rPr>
              <w:t>9）</w:t>
            </w:r>
            <w:r>
              <w:rPr>
                <w:rFonts w:ascii="宋体" w:hAnsi="宋体" w:eastAsia="宋体" w:cs="Arial"/>
                <w:bCs/>
                <w:color w:val="auto"/>
                <w:sz w:val="21"/>
                <w:szCs w:val="21"/>
                <w:highlight w:val="none"/>
              </w:rPr>
              <w:tab/>
            </w:r>
            <w:r>
              <w:rPr>
                <w:rFonts w:hint="eastAsia" w:ascii="宋体" w:hAnsi="宋体" w:eastAsia="宋体" w:cs="Arial"/>
                <w:bCs/>
                <w:color w:val="auto"/>
                <w:sz w:val="21"/>
                <w:szCs w:val="21"/>
                <w:highlight w:val="none"/>
              </w:rPr>
              <w:t>住院病人人血白蛋白专项点评</w:t>
            </w:r>
          </w:p>
          <w:p w14:paraId="536881BD">
            <w:pPr>
              <w:pageBreakBefore w:val="0"/>
              <w:kinsoku/>
              <w:wordWrap/>
              <w:overflowPunct/>
              <w:topLinePunct w:val="0"/>
              <w:autoSpaceDE/>
              <w:autoSpaceDN/>
              <w:bidi w:val="0"/>
              <w:adjustRightInd w:val="0"/>
              <w:snapToGrid w:val="0"/>
              <w:spacing w:line="360" w:lineRule="auto"/>
              <w:ind w:firstLine="210" w:firstLineChars="100"/>
              <w:jc w:val="both"/>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w:t>
            </w:r>
            <w:r>
              <w:rPr>
                <w:rFonts w:ascii="宋体" w:hAnsi="宋体" w:eastAsia="宋体" w:cs="Arial"/>
                <w:bCs/>
                <w:color w:val="auto"/>
                <w:sz w:val="21"/>
                <w:szCs w:val="21"/>
                <w:highlight w:val="none"/>
              </w:rPr>
              <w:t>10）门（急）诊/住院中药饮片专项点评，</w:t>
            </w:r>
            <w:r>
              <w:rPr>
                <w:rFonts w:hint="eastAsia" w:ascii="宋体" w:hAnsi="宋体" w:eastAsia="宋体" w:cs="Arial"/>
                <w:bCs/>
                <w:color w:val="auto"/>
                <w:sz w:val="21"/>
                <w:szCs w:val="21"/>
                <w:highlight w:val="none"/>
              </w:rPr>
              <w:t>含超过规定味数、未按照君臣佐使顺序书写、用药与辩证不符、中药配伍禁忌、联用不适宜或者不良相互作用、未按要求标注药物调剂和煎煮特殊要求、开具毒麻饮片未执行国家有关规定等点评点</w:t>
            </w:r>
          </w:p>
          <w:p w14:paraId="4BE1CED3">
            <w:pPr>
              <w:pageBreakBefore w:val="0"/>
              <w:kinsoku/>
              <w:wordWrap/>
              <w:overflowPunct/>
              <w:topLinePunct w:val="0"/>
              <w:autoSpaceDE/>
              <w:autoSpaceDN/>
              <w:bidi w:val="0"/>
              <w:adjustRightInd w:val="0"/>
              <w:snapToGrid w:val="0"/>
              <w:spacing w:line="360" w:lineRule="auto"/>
              <w:ind w:firstLine="210" w:firstLineChars="100"/>
              <w:jc w:val="both"/>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w:t>
            </w:r>
            <w:r>
              <w:rPr>
                <w:rFonts w:ascii="宋体" w:hAnsi="宋体" w:eastAsia="宋体" w:cs="Arial"/>
                <w:bCs/>
                <w:color w:val="auto"/>
                <w:sz w:val="21"/>
                <w:szCs w:val="21"/>
                <w:highlight w:val="none"/>
              </w:rPr>
              <w:t>11）</w:t>
            </w:r>
            <w:r>
              <w:rPr>
                <w:rFonts w:hint="eastAsia" w:ascii="宋体" w:hAnsi="宋体" w:eastAsia="宋体" w:cs="Arial"/>
                <w:bCs/>
                <w:color w:val="auto"/>
                <w:sz w:val="21"/>
                <w:szCs w:val="21"/>
                <w:highlight w:val="none"/>
              </w:rPr>
              <w:t>门（急）诊中成药处方专项点评</w:t>
            </w:r>
          </w:p>
          <w:p w14:paraId="03617880">
            <w:pPr>
              <w:pageBreakBefore w:val="0"/>
              <w:kinsoku/>
              <w:wordWrap/>
              <w:overflowPunct/>
              <w:topLinePunct w:val="0"/>
              <w:autoSpaceDE/>
              <w:autoSpaceDN/>
              <w:bidi w:val="0"/>
              <w:adjustRightInd w:val="0"/>
              <w:snapToGrid w:val="0"/>
              <w:spacing w:line="360" w:lineRule="auto"/>
              <w:ind w:firstLine="210" w:firstLineChars="100"/>
              <w:jc w:val="both"/>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w:t>
            </w:r>
            <w:r>
              <w:rPr>
                <w:rFonts w:ascii="宋体" w:hAnsi="宋体" w:eastAsia="宋体" w:cs="Arial"/>
                <w:bCs/>
                <w:color w:val="auto"/>
                <w:sz w:val="21"/>
                <w:szCs w:val="21"/>
                <w:highlight w:val="none"/>
              </w:rPr>
              <w:t>12）用药排名医嘱点评，应能对门急诊/住院使用金额、数量或DDDs</w:t>
            </w:r>
            <w:r>
              <w:rPr>
                <w:rFonts w:hint="eastAsia" w:ascii="宋体" w:hAnsi="宋体" w:eastAsia="宋体" w:cs="Arial"/>
                <w:bCs/>
                <w:color w:val="auto"/>
                <w:sz w:val="21"/>
                <w:szCs w:val="21"/>
                <w:highlight w:val="none"/>
              </w:rPr>
              <w:t>排名前</w:t>
            </w:r>
            <w:r>
              <w:rPr>
                <w:rFonts w:ascii="宋体" w:hAnsi="宋体" w:eastAsia="宋体" w:cs="Arial"/>
                <w:bCs/>
                <w:color w:val="auto"/>
                <w:sz w:val="21"/>
                <w:szCs w:val="21"/>
                <w:highlight w:val="none"/>
              </w:rPr>
              <w:t>N位</w:t>
            </w:r>
            <w:r>
              <w:rPr>
                <w:rFonts w:hint="eastAsia" w:ascii="宋体" w:hAnsi="宋体" w:eastAsia="宋体" w:cs="Arial"/>
                <w:bCs/>
                <w:color w:val="auto"/>
                <w:sz w:val="21"/>
                <w:szCs w:val="21"/>
                <w:highlight w:val="none"/>
              </w:rPr>
              <w:t>的科室和医生开具的处方（医嘱）进行点评</w:t>
            </w:r>
          </w:p>
          <w:p w14:paraId="61D68530">
            <w:pPr>
              <w:pageBreakBefore w:val="0"/>
              <w:kinsoku/>
              <w:wordWrap/>
              <w:overflowPunct/>
              <w:topLinePunct w:val="0"/>
              <w:autoSpaceDE/>
              <w:autoSpaceDN/>
              <w:bidi w:val="0"/>
              <w:adjustRightInd w:val="0"/>
              <w:snapToGrid w:val="0"/>
              <w:spacing w:line="360" w:lineRule="auto"/>
              <w:ind w:firstLine="210" w:firstLineChars="100"/>
              <w:jc w:val="both"/>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w:t>
            </w:r>
            <w:r>
              <w:rPr>
                <w:rFonts w:ascii="宋体" w:hAnsi="宋体" w:eastAsia="宋体" w:cs="Arial"/>
                <w:bCs/>
                <w:color w:val="auto"/>
                <w:sz w:val="21"/>
                <w:szCs w:val="21"/>
                <w:highlight w:val="none"/>
              </w:rPr>
              <w:t>13）</w:t>
            </w:r>
            <w:r>
              <w:rPr>
                <w:rFonts w:hint="eastAsia" w:ascii="宋体" w:hAnsi="宋体" w:eastAsia="宋体" w:cs="Arial"/>
                <w:bCs/>
                <w:color w:val="auto"/>
                <w:sz w:val="21"/>
                <w:szCs w:val="21"/>
                <w:highlight w:val="none"/>
              </w:rPr>
              <w:t>住院用药医嘱点评</w:t>
            </w:r>
          </w:p>
          <w:p w14:paraId="00AAD1C7">
            <w:pPr>
              <w:pageBreakBefore w:val="0"/>
              <w:kinsoku/>
              <w:wordWrap/>
              <w:overflowPunct/>
              <w:topLinePunct w:val="0"/>
              <w:autoSpaceDE/>
              <w:autoSpaceDN/>
              <w:bidi w:val="0"/>
              <w:adjustRightInd w:val="0"/>
              <w:snapToGrid w:val="0"/>
              <w:spacing w:line="360" w:lineRule="auto"/>
              <w:ind w:firstLine="210" w:firstLineChars="100"/>
              <w:jc w:val="both"/>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w:t>
            </w:r>
            <w:r>
              <w:rPr>
                <w:rFonts w:ascii="宋体" w:hAnsi="宋体" w:eastAsia="宋体" w:cs="Arial"/>
                <w:bCs/>
                <w:color w:val="auto"/>
                <w:sz w:val="21"/>
                <w:szCs w:val="21"/>
                <w:highlight w:val="none"/>
              </w:rPr>
              <w:t>14）</w:t>
            </w:r>
            <w:r>
              <w:rPr>
                <w:rFonts w:hint="eastAsia" w:ascii="宋体" w:hAnsi="宋体" w:eastAsia="宋体" w:cs="Arial"/>
                <w:bCs/>
                <w:color w:val="auto"/>
                <w:sz w:val="21"/>
                <w:szCs w:val="21"/>
                <w:highlight w:val="none"/>
              </w:rPr>
              <w:t>出院带药医嘱点评</w:t>
            </w:r>
          </w:p>
          <w:p w14:paraId="07B68AA7">
            <w:pPr>
              <w:pageBreakBefore w:val="0"/>
              <w:kinsoku/>
              <w:wordWrap/>
              <w:overflowPunct/>
              <w:topLinePunct w:val="0"/>
              <w:autoSpaceDE/>
              <w:autoSpaceDN/>
              <w:bidi w:val="0"/>
              <w:adjustRightInd w:val="0"/>
              <w:snapToGrid w:val="0"/>
              <w:spacing w:line="360" w:lineRule="auto"/>
              <w:ind w:firstLine="210" w:firstLineChars="100"/>
              <w:jc w:val="both"/>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w:t>
            </w:r>
            <w:r>
              <w:rPr>
                <w:rFonts w:ascii="宋体" w:hAnsi="宋体" w:eastAsia="宋体" w:cs="Arial"/>
                <w:bCs/>
                <w:color w:val="auto"/>
                <w:sz w:val="21"/>
                <w:szCs w:val="21"/>
                <w:highlight w:val="none"/>
              </w:rPr>
              <w:t>15）</w:t>
            </w:r>
            <w:r>
              <w:rPr>
                <w:rFonts w:hint="eastAsia" w:ascii="宋体" w:hAnsi="宋体" w:eastAsia="宋体" w:cs="Arial"/>
                <w:bCs/>
                <w:color w:val="auto"/>
                <w:sz w:val="21"/>
                <w:szCs w:val="21"/>
                <w:highlight w:val="none"/>
              </w:rPr>
              <w:t>门（急）诊基本药物专项点评，含用药方案与《国家基本药物临床应用指南》不一致等点评点</w:t>
            </w:r>
          </w:p>
          <w:p w14:paraId="3F0413B7">
            <w:pPr>
              <w:pageBreakBefore w:val="0"/>
              <w:kinsoku/>
              <w:wordWrap/>
              <w:overflowPunct/>
              <w:topLinePunct w:val="0"/>
              <w:autoSpaceDE/>
              <w:autoSpaceDN/>
              <w:bidi w:val="0"/>
              <w:adjustRightInd w:val="0"/>
              <w:snapToGrid w:val="0"/>
              <w:spacing w:line="360" w:lineRule="auto"/>
              <w:ind w:firstLine="210" w:firstLineChars="100"/>
              <w:jc w:val="both"/>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w:t>
            </w:r>
            <w:r>
              <w:rPr>
                <w:rFonts w:ascii="宋体" w:hAnsi="宋体" w:eastAsia="宋体" w:cs="Arial"/>
                <w:bCs/>
                <w:color w:val="auto"/>
                <w:sz w:val="21"/>
                <w:szCs w:val="21"/>
                <w:highlight w:val="none"/>
              </w:rPr>
              <w:t>16）住院病人肠外营养专项点评，可</w:t>
            </w:r>
            <w:r>
              <w:rPr>
                <w:rFonts w:hint="eastAsia" w:ascii="宋体" w:hAnsi="宋体" w:eastAsia="宋体" w:cs="Arial"/>
                <w:bCs/>
                <w:color w:val="auto"/>
                <w:sz w:val="21"/>
                <w:szCs w:val="21"/>
                <w:highlight w:val="none"/>
              </w:rPr>
              <w:t>自动计算热量、补液量、氮量、糖</w:t>
            </w:r>
            <w:r>
              <w:rPr>
                <w:rFonts w:ascii="宋体" w:hAnsi="宋体" w:eastAsia="宋体" w:cs="Arial"/>
                <w:bCs/>
                <w:color w:val="auto"/>
                <w:sz w:val="21"/>
                <w:szCs w:val="21"/>
                <w:highlight w:val="none"/>
              </w:rPr>
              <w:t>/脂肪乳/氨基酸总量、氨基酸供给量、糖脂比、</w:t>
            </w:r>
            <w:r>
              <w:rPr>
                <w:rFonts w:hint="eastAsia" w:ascii="宋体" w:hAnsi="宋体" w:eastAsia="宋体" w:cs="Arial"/>
                <w:bCs/>
                <w:color w:val="auto"/>
                <w:sz w:val="21"/>
                <w:szCs w:val="21"/>
                <w:highlight w:val="none"/>
              </w:rPr>
              <w:t>热氮比、丙氨酰谷氨酰胺用量占比、钠</w:t>
            </w:r>
            <w:r>
              <w:rPr>
                <w:rFonts w:ascii="宋体" w:hAnsi="宋体" w:eastAsia="宋体" w:cs="Arial"/>
                <w:bCs/>
                <w:color w:val="auto"/>
                <w:sz w:val="21"/>
                <w:szCs w:val="21"/>
                <w:highlight w:val="none"/>
              </w:rPr>
              <w:t>/钾/钙/镁/磷/电解质一价</w:t>
            </w:r>
            <w:r>
              <w:rPr>
                <w:rFonts w:hint="eastAsia" w:ascii="宋体" w:hAnsi="宋体" w:eastAsia="宋体" w:cs="Arial"/>
                <w:bCs/>
                <w:color w:val="auto"/>
                <w:sz w:val="21"/>
                <w:szCs w:val="21"/>
                <w:highlight w:val="none"/>
              </w:rPr>
              <w:t>及</w:t>
            </w:r>
            <w:r>
              <w:rPr>
                <w:rFonts w:ascii="宋体" w:hAnsi="宋体" w:eastAsia="宋体" w:cs="Arial"/>
                <w:bCs/>
                <w:color w:val="auto"/>
                <w:sz w:val="21"/>
                <w:szCs w:val="21"/>
                <w:highlight w:val="none"/>
              </w:rPr>
              <w:t>二价阳离子</w:t>
            </w:r>
            <w:r>
              <w:rPr>
                <w:rFonts w:hint="eastAsia" w:ascii="宋体" w:hAnsi="宋体" w:eastAsia="宋体" w:cs="Arial"/>
                <w:bCs/>
                <w:color w:val="auto"/>
                <w:sz w:val="21"/>
                <w:szCs w:val="21"/>
                <w:highlight w:val="none"/>
              </w:rPr>
              <w:t>浓度、</w:t>
            </w:r>
            <w:r>
              <w:rPr>
                <w:rFonts w:ascii="宋体" w:hAnsi="宋体" w:eastAsia="宋体" w:cs="Arial"/>
                <w:bCs/>
                <w:color w:val="auto"/>
                <w:sz w:val="21"/>
                <w:szCs w:val="21"/>
                <w:highlight w:val="none"/>
              </w:rPr>
              <w:t>渗透压摩尔浓度</w:t>
            </w:r>
            <w:r>
              <w:rPr>
                <w:rFonts w:hint="eastAsia" w:ascii="宋体" w:hAnsi="宋体" w:eastAsia="宋体" w:cs="Arial"/>
                <w:bCs/>
                <w:color w:val="auto"/>
                <w:sz w:val="21"/>
                <w:szCs w:val="21"/>
                <w:highlight w:val="none"/>
              </w:rPr>
              <w:t>等指标</w:t>
            </w:r>
          </w:p>
          <w:p w14:paraId="56BC0122">
            <w:pPr>
              <w:pageBreakBefore w:val="0"/>
              <w:kinsoku/>
              <w:wordWrap/>
              <w:overflowPunct/>
              <w:topLinePunct w:val="0"/>
              <w:autoSpaceDE/>
              <w:autoSpaceDN/>
              <w:bidi w:val="0"/>
              <w:adjustRightInd w:val="0"/>
              <w:snapToGrid w:val="0"/>
              <w:spacing w:line="360" w:lineRule="auto"/>
              <w:ind w:firstLine="210" w:firstLineChars="100"/>
              <w:jc w:val="both"/>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（17）住院病人自备药专项点评</w:t>
            </w:r>
          </w:p>
          <w:p w14:paraId="749AE197">
            <w:pPr>
              <w:pageBreakBefore w:val="0"/>
              <w:kinsoku/>
              <w:wordWrap/>
              <w:overflowPunct/>
              <w:topLinePunct w:val="0"/>
              <w:autoSpaceDE/>
              <w:autoSpaceDN/>
              <w:bidi w:val="0"/>
              <w:adjustRightInd w:val="0"/>
              <w:snapToGrid w:val="0"/>
              <w:spacing w:line="360" w:lineRule="auto"/>
              <w:ind w:firstLine="210" w:firstLineChars="100"/>
              <w:jc w:val="both"/>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（18）门（急）诊外延处方点评</w:t>
            </w:r>
          </w:p>
        </w:tc>
      </w:tr>
      <w:tr w14:paraId="593F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59824BF1">
            <w:pPr>
              <w:pStyle w:val="13"/>
              <w:pageBreakBefore w:val="0"/>
              <w:numPr>
                <w:ilvl w:val="0"/>
                <w:numId w:val="12"/>
              </w:numPr>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p>
        </w:tc>
        <w:tc>
          <w:tcPr>
            <w:tcW w:w="1286" w:type="dxa"/>
            <w:vAlign w:val="center"/>
          </w:tcPr>
          <w:p w14:paraId="23E958D4">
            <w:pPr>
              <w:pageBreakBefore w:val="0"/>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区域处方点评</w:t>
            </w:r>
          </w:p>
        </w:tc>
        <w:tc>
          <w:tcPr>
            <w:tcW w:w="6276" w:type="dxa"/>
            <w:vAlign w:val="center"/>
          </w:tcPr>
          <w:p w14:paraId="698E2760">
            <w:pPr>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s="Arial"/>
                <w:color w:val="auto"/>
                <w:sz w:val="21"/>
                <w:szCs w:val="21"/>
                <w:highlight w:val="none"/>
              </w:rPr>
            </w:pPr>
            <w:r>
              <w:rPr>
                <w:rFonts w:hint="eastAsia" w:ascii="宋体" w:hAnsi="宋体" w:eastAsia="宋体" w:cs="Arial"/>
                <w:color w:val="auto"/>
                <w:sz w:val="21"/>
                <w:szCs w:val="21"/>
                <w:highlight w:val="none"/>
              </w:rPr>
              <w:t>系统应支持全区共用一套规则，系统应可抽取单个医疗机构或多个医疗机构的处方或医嘱点评，也可抽取专项药品进行专项化点评；点评过程中系统应可将点评任务分配给区域中不同医疗机构的药师，系统应支持点评人在遇到点评问题时可向上级医院的药师进行求助；点评完成后，系统应可以按照区域中的医疗机构生成点评结果的统计。</w:t>
            </w:r>
          </w:p>
        </w:tc>
      </w:tr>
      <w:tr w14:paraId="5572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restart"/>
            <w:vAlign w:val="center"/>
          </w:tcPr>
          <w:p w14:paraId="144BD28C">
            <w:pPr>
              <w:pStyle w:val="13"/>
              <w:pageBreakBefore w:val="0"/>
              <w:numPr>
                <w:ilvl w:val="0"/>
                <w:numId w:val="12"/>
              </w:numPr>
              <w:kinsoku/>
              <w:wordWrap/>
              <w:overflowPunct/>
              <w:topLinePunct w:val="0"/>
              <w:autoSpaceDE/>
              <w:autoSpaceDN/>
              <w:bidi w:val="0"/>
              <w:adjustRightInd w:val="0"/>
              <w:snapToGrid w:val="0"/>
              <w:spacing w:line="360" w:lineRule="auto"/>
              <w:ind w:left="420" w:leftChars="0" w:hanging="420" w:firstLineChars="0"/>
              <w:textAlignment w:val="auto"/>
              <w:rPr>
                <w:rFonts w:ascii="宋体" w:hAnsi="宋体" w:eastAsia="宋体"/>
                <w:color w:val="auto"/>
                <w:sz w:val="21"/>
                <w:szCs w:val="21"/>
                <w:highlight w:val="none"/>
              </w:rPr>
            </w:pPr>
          </w:p>
        </w:tc>
        <w:tc>
          <w:tcPr>
            <w:tcW w:w="1286" w:type="dxa"/>
            <w:vMerge w:val="restart"/>
            <w:vAlign w:val="center"/>
          </w:tcPr>
          <w:p w14:paraId="63075B67">
            <w:pPr>
              <w:pageBreakBefore w:val="0"/>
              <w:kinsoku/>
              <w:wordWrap/>
              <w:overflowPunct/>
              <w:topLinePunct w:val="0"/>
              <w:autoSpaceDE/>
              <w:autoSpaceDN/>
              <w:bidi w:val="0"/>
              <w:adjustRightInd w:val="0"/>
              <w:snapToGrid w:val="0"/>
              <w:spacing w:line="360" w:lineRule="auto"/>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抗菌药物临床应用监测</w:t>
            </w:r>
          </w:p>
        </w:tc>
        <w:tc>
          <w:tcPr>
            <w:tcW w:w="6276" w:type="dxa"/>
            <w:vAlign w:val="center"/>
          </w:tcPr>
          <w:p w14:paraId="58357BCB">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Arial"/>
                <w:color w:val="auto"/>
                <w:sz w:val="21"/>
                <w:szCs w:val="21"/>
                <w:highlight w:val="none"/>
              </w:rPr>
            </w:pPr>
            <w:r>
              <w:rPr>
                <w:rFonts w:hint="eastAsia" w:ascii="宋体" w:hAnsi="宋体" w:eastAsia="宋体" w:cs="Arial"/>
                <w:bCs/>
                <w:sz w:val="21"/>
                <w:szCs w:val="21"/>
                <w:highlight w:val="none"/>
              </w:rPr>
              <w:t>系统应根据卫生部《抗菌药物临床应用监测方案》中的相关规定，完成抗菌药物临床应用监测网要求的抗菌药物使用情况统计及上报工作。系统应提供手术</w:t>
            </w:r>
            <w:r>
              <w:rPr>
                <w:rFonts w:ascii="宋体" w:hAnsi="宋体" w:eastAsia="宋体" w:cs="Arial"/>
                <w:bCs/>
                <w:sz w:val="21"/>
                <w:szCs w:val="21"/>
                <w:highlight w:val="none"/>
              </w:rPr>
              <w:t>/非手术抗菌药物使用情况调查表、门诊</w:t>
            </w:r>
            <w:r>
              <w:rPr>
                <w:rFonts w:hint="eastAsia" w:ascii="宋体" w:hAnsi="宋体" w:eastAsia="宋体" w:cs="Arial"/>
                <w:bCs/>
                <w:sz w:val="21"/>
                <w:szCs w:val="21"/>
                <w:highlight w:val="none"/>
              </w:rPr>
              <w:t>/急诊/</w:t>
            </w:r>
            <w:r>
              <w:rPr>
                <w:rFonts w:ascii="宋体" w:hAnsi="宋体" w:eastAsia="宋体" w:cs="Arial"/>
                <w:bCs/>
                <w:sz w:val="21"/>
                <w:szCs w:val="21"/>
                <w:highlight w:val="none"/>
              </w:rPr>
              <w:t>住院患者抗菌药物使用情况统计报表的离线上报功能，可直接上传文档</w:t>
            </w:r>
            <w:r>
              <w:rPr>
                <w:rFonts w:hint="eastAsia" w:ascii="宋体" w:hAnsi="宋体" w:eastAsia="宋体" w:cs="Arial"/>
                <w:bCs/>
                <w:sz w:val="21"/>
                <w:szCs w:val="21"/>
                <w:highlight w:val="none"/>
              </w:rPr>
              <w:t>至监测网完成填报工作，避免二次填写。</w:t>
            </w:r>
          </w:p>
        </w:tc>
      </w:tr>
      <w:tr w14:paraId="5A19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vAlign w:val="center"/>
          </w:tcPr>
          <w:p w14:paraId="45F20C6B">
            <w:pPr>
              <w:pStyle w:val="13"/>
              <w:pageBreakBefore w:val="0"/>
              <w:kinsoku/>
              <w:wordWrap/>
              <w:overflowPunct/>
              <w:topLinePunct w:val="0"/>
              <w:autoSpaceDE/>
              <w:autoSpaceDN/>
              <w:bidi w:val="0"/>
              <w:adjustRightInd w:val="0"/>
              <w:snapToGrid w:val="0"/>
              <w:spacing w:line="360" w:lineRule="auto"/>
              <w:ind w:left="420" w:leftChars="0" w:hanging="420" w:firstLineChars="0"/>
              <w:textAlignment w:val="auto"/>
              <w:rPr>
                <w:rFonts w:ascii="宋体" w:hAnsi="宋体" w:eastAsia="宋体"/>
                <w:color w:val="auto"/>
                <w:sz w:val="21"/>
                <w:szCs w:val="21"/>
                <w:highlight w:val="none"/>
              </w:rPr>
            </w:pPr>
          </w:p>
        </w:tc>
        <w:tc>
          <w:tcPr>
            <w:tcW w:w="1286" w:type="dxa"/>
            <w:vMerge w:val="continue"/>
            <w:vAlign w:val="center"/>
          </w:tcPr>
          <w:p w14:paraId="5F5D9F44">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olor w:val="auto"/>
                <w:sz w:val="21"/>
                <w:szCs w:val="21"/>
                <w:highlight w:val="none"/>
              </w:rPr>
            </w:pPr>
          </w:p>
        </w:tc>
        <w:tc>
          <w:tcPr>
            <w:tcW w:w="6276" w:type="dxa"/>
            <w:vAlign w:val="center"/>
          </w:tcPr>
          <w:p w14:paraId="40887A6D">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Arial"/>
                <w:color w:val="auto"/>
                <w:sz w:val="21"/>
                <w:szCs w:val="21"/>
                <w:highlight w:val="none"/>
              </w:rPr>
            </w:pPr>
            <w:r>
              <w:rPr>
                <w:rFonts w:hint="eastAsia" w:ascii="宋体" w:hAnsi="宋体" w:eastAsia="宋体" w:cs="Arial"/>
                <w:bCs/>
                <w:sz w:val="21"/>
                <w:szCs w:val="21"/>
                <w:highlight w:val="none"/>
              </w:rPr>
              <w:t>系统应提供非手术抗菌药物使用情况调查表、手术抗菌药物使用情况调查表、门(急)诊处方用药情况和住院病人抗菌药物使用情况的数据生成和人工上报功能。</w:t>
            </w:r>
          </w:p>
        </w:tc>
      </w:tr>
      <w:tr w14:paraId="60F2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restart"/>
            <w:vAlign w:val="center"/>
          </w:tcPr>
          <w:p w14:paraId="7CC5BE8F">
            <w:pPr>
              <w:pStyle w:val="13"/>
              <w:pageBreakBefore w:val="0"/>
              <w:numPr>
                <w:ilvl w:val="0"/>
                <w:numId w:val="12"/>
              </w:numPr>
              <w:kinsoku/>
              <w:wordWrap/>
              <w:overflowPunct/>
              <w:topLinePunct w:val="0"/>
              <w:autoSpaceDE/>
              <w:autoSpaceDN/>
              <w:bidi w:val="0"/>
              <w:adjustRightInd w:val="0"/>
              <w:snapToGrid w:val="0"/>
              <w:spacing w:line="360" w:lineRule="auto"/>
              <w:ind w:left="420" w:leftChars="0" w:hanging="420" w:firstLineChars="0"/>
              <w:textAlignment w:val="auto"/>
              <w:rPr>
                <w:rFonts w:ascii="宋体" w:hAnsi="宋体" w:eastAsia="宋体"/>
                <w:color w:val="auto"/>
                <w:sz w:val="21"/>
                <w:szCs w:val="21"/>
                <w:highlight w:val="none"/>
              </w:rPr>
            </w:pPr>
          </w:p>
        </w:tc>
        <w:tc>
          <w:tcPr>
            <w:tcW w:w="1286" w:type="dxa"/>
            <w:vMerge w:val="restart"/>
            <w:vAlign w:val="center"/>
          </w:tcPr>
          <w:p w14:paraId="2C8121B5">
            <w:pPr>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olor w:val="auto"/>
                <w:sz w:val="21"/>
                <w:szCs w:val="21"/>
                <w:highlight w:val="none"/>
              </w:rPr>
            </w:pPr>
            <w:r>
              <w:rPr>
                <w:rFonts w:hint="eastAsia"/>
                <w:sz w:val="21"/>
                <w:szCs w:val="21"/>
                <w:highlight w:val="none"/>
                <w:lang w:val="en-US" w:eastAsia="zh-CN"/>
              </w:rPr>
              <w:t>电子药历</w:t>
            </w:r>
          </w:p>
        </w:tc>
        <w:tc>
          <w:tcPr>
            <w:tcW w:w="6276" w:type="dxa"/>
            <w:vAlign w:val="center"/>
          </w:tcPr>
          <w:p w14:paraId="6F99F7CB">
            <w:pPr>
              <w:pageBreakBefore w:val="0"/>
              <w:kinsoku/>
              <w:wordWrap/>
              <w:overflowPunct/>
              <w:topLinePunct w:val="0"/>
              <w:autoSpaceDE/>
              <w:autoSpaceDN/>
              <w:bidi w:val="0"/>
              <w:adjustRightInd w:val="0"/>
              <w:snapToGrid w:val="0"/>
              <w:spacing w:line="360" w:lineRule="auto"/>
              <w:textAlignment w:val="auto"/>
              <w:rPr>
                <w:rFonts w:ascii="宋体" w:hAnsi="宋体" w:eastAsia="宋体" w:cs="Arial"/>
                <w:bCs/>
                <w:sz w:val="21"/>
                <w:szCs w:val="21"/>
                <w:highlight w:val="none"/>
              </w:rPr>
            </w:pPr>
            <w:r>
              <w:rPr>
                <w:rFonts w:hint="eastAsia" w:cs="Arial"/>
                <w:bCs/>
                <w:sz w:val="21"/>
                <w:szCs w:val="21"/>
                <w:highlight w:val="none"/>
                <w:lang w:val="en-US" w:eastAsia="zh-CN"/>
              </w:rPr>
              <w:t>5</w:t>
            </w:r>
            <w:r>
              <w:rPr>
                <w:rFonts w:hint="eastAsia" w:ascii="宋体" w:hAnsi="宋体" w:eastAsia="宋体" w:cs="Arial"/>
                <w:bCs/>
                <w:sz w:val="21"/>
                <w:szCs w:val="21"/>
                <w:highlight w:val="none"/>
                <w:lang w:val="en-US" w:eastAsia="zh-CN"/>
              </w:rPr>
              <w:t>.1</w:t>
            </w:r>
            <w:r>
              <w:rPr>
                <w:rFonts w:hint="eastAsia" w:ascii="宋体" w:hAnsi="宋体" w:eastAsia="宋体" w:cs="Arial"/>
                <w:bCs/>
                <w:sz w:val="21"/>
                <w:szCs w:val="21"/>
                <w:highlight w:val="none"/>
              </w:rPr>
              <w:t>系统应提供教学药历的书写功能，帮助用户快速生成电子化的教学药历；同时，系统应提供教学药历的审阅功能。</w:t>
            </w:r>
          </w:p>
          <w:p w14:paraId="70F0A34B">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Arial"/>
                <w:bCs/>
                <w:sz w:val="21"/>
                <w:szCs w:val="21"/>
                <w:highlight w:val="none"/>
              </w:rPr>
            </w:pPr>
            <w:r>
              <w:rPr>
                <w:rFonts w:hint="eastAsia" w:cs="Arial"/>
                <w:bCs/>
                <w:sz w:val="21"/>
                <w:szCs w:val="21"/>
                <w:highlight w:val="none"/>
                <w:lang w:val="en-US" w:eastAsia="zh-CN"/>
              </w:rPr>
              <w:t>5</w:t>
            </w:r>
            <w:r>
              <w:rPr>
                <w:rFonts w:hint="eastAsia" w:ascii="宋体" w:hAnsi="宋体" w:eastAsia="宋体" w:cs="Arial"/>
                <w:bCs/>
                <w:sz w:val="21"/>
                <w:szCs w:val="21"/>
                <w:highlight w:val="none"/>
                <w:lang w:val="en-US" w:eastAsia="zh-CN"/>
              </w:rPr>
              <w:t>.2</w:t>
            </w:r>
            <w:r>
              <w:rPr>
                <w:rFonts w:hint="eastAsia" w:ascii="宋体" w:hAnsi="宋体" w:eastAsia="宋体" w:cs="Arial"/>
                <w:bCs/>
                <w:sz w:val="21"/>
                <w:szCs w:val="21"/>
                <w:highlight w:val="none"/>
              </w:rPr>
              <w:t>教学药历应提供导出功能，方便用户导出电子化文档进行存档。</w:t>
            </w:r>
          </w:p>
          <w:p w14:paraId="042D235F">
            <w:pPr>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Arial"/>
                <w:color w:val="auto"/>
                <w:sz w:val="21"/>
                <w:szCs w:val="21"/>
                <w:highlight w:val="none"/>
              </w:rPr>
            </w:pPr>
            <w:r>
              <w:rPr>
                <w:rFonts w:hint="eastAsia" w:cs="Arial"/>
                <w:bCs/>
                <w:sz w:val="21"/>
                <w:szCs w:val="21"/>
                <w:highlight w:val="none"/>
                <w:lang w:val="en-US" w:eastAsia="zh-CN"/>
              </w:rPr>
              <w:t>5</w:t>
            </w:r>
            <w:r>
              <w:rPr>
                <w:rFonts w:hint="eastAsia" w:ascii="宋体" w:hAnsi="宋体" w:eastAsia="宋体" w:cs="Arial"/>
                <w:bCs/>
                <w:sz w:val="21"/>
                <w:szCs w:val="21"/>
                <w:highlight w:val="none"/>
                <w:lang w:val="en-US" w:eastAsia="zh-CN"/>
              </w:rPr>
              <w:t>.3</w:t>
            </w:r>
            <w:r>
              <w:rPr>
                <w:rFonts w:hint="eastAsia" w:ascii="宋体" w:hAnsi="宋体" w:eastAsia="宋体" w:cs="Arial"/>
                <w:bCs/>
                <w:sz w:val="21"/>
                <w:szCs w:val="21"/>
                <w:highlight w:val="none"/>
              </w:rPr>
              <w:t>系统应提供教学药历的模板自定义功能，用户应可根据管理需要进行开启、关闭、新增、删除相应字段。</w:t>
            </w:r>
          </w:p>
        </w:tc>
      </w:tr>
      <w:tr w14:paraId="7E08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vAlign w:val="center"/>
          </w:tcPr>
          <w:p w14:paraId="48A83FBE">
            <w:pPr>
              <w:pStyle w:val="13"/>
              <w:pageBreakBefore w:val="0"/>
              <w:kinsoku/>
              <w:wordWrap/>
              <w:overflowPunct/>
              <w:topLinePunct w:val="0"/>
              <w:autoSpaceDE/>
              <w:autoSpaceDN/>
              <w:bidi w:val="0"/>
              <w:adjustRightInd w:val="0"/>
              <w:snapToGrid w:val="0"/>
              <w:spacing w:line="360" w:lineRule="auto"/>
              <w:ind w:left="420" w:leftChars="0" w:hanging="420" w:firstLineChars="0"/>
              <w:textAlignment w:val="auto"/>
              <w:rPr>
                <w:rFonts w:ascii="宋体" w:hAnsi="宋体" w:eastAsia="宋体"/>
                <w:color w:val="auto"/>
                <w:sz w:val="21"/>
                <w:szCs w:val="21"/>
                <w:highlight w:val="none"/>
              </w:rPr>
            </w:pPr>
          </w:p>
        </w:tc>
        <w:tc>
          <w:tcPr>
            <w:tcW w:w="1286" w:type="dxa"/>
            <w:vMerge w:val="continue"/>
            <w:vAlign w:val="center"/>
          </w:tcPr>
          <w:p w14:paraId="63057C60">
            <w:pPr>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olor w:val="auto"/>
                <w:sz w:val="21"/>
                <w:szCs w:val="21"/>
                <w:highlight w:val="none"/>
              </w:rPr>
            </w:pPr>
          </w:p>
        </w:tc>
        <w:tc>
          <w:tcPr>
            <w:tcW w:w="6276" w:type="dxa"/>
            <w:vAlign w:val="center"/>
          </w:tcPr>
          <w:p w14:paraId="6A6C5D30">
            <w:pPr>
              <w:pageBreakBefore w:val="0"/>
              <w:kinsoku/>
              <w:wordWrap/>
              <w:overflowPunct/>
              <w:topLinePunct w:val="0"/>
              <w:autoSpaceDE/>
              <w:autoSpaceDN/>
              <w:bidi w:val="0"/>
              <w:adjustRightInd w:val="0"/>
              <w:snapToGrid w:val="0"/>
              <w:spacing w:line="360" w:lineRule="auto"/>
              <w:textAlignment w:val="auto"/>
              <w:rPr>
                <w:rFonts w:ascii="宋体" w:hAnsi="宋体" w:eastAsia="宋体" w:cs="Arial"/>
                <w:bCs/>
                <w:sz w:val="21"/>
                <w:szCs w:val="21"/>
                <w:highlight w:val="none"/>
              </w:rPr>
            </w:pPr>
            <w:r>
              <w:rPr>
                <w:rFonts w:hint="eastAsia" w:cs="Arial"/>
                <w:bCs/>
                <w:sz w:val="21"/>
                <w:szCs w:val="21"/>
                <w:highlight w:val="none"/>
                <w:lang w:val="en-US" w:eastAsia="zh-CN"/>
              </w:rPr>
              <w:t>5</w:t>
            </w:r>
            <w:r>
              <w:rPr>
                <w:rFonts w:hint="eastAsia" w:ascii="宋体" w:hAnsi="宋体" w:eastAsia="宋体" w:cs="Arial"/>
                <w:bCs/>
                <w:sz w:val="21"/>
                <w:szCs w:val="21"/>
                <w:highlight w:val="none"/>
                <w:lang w:val="en-US" w:eastAsia="zh-CN"/>
              </w:rPr>
              <w:t>.</w:t>
            </w:r>
            <w:r>
              <w:rPr>
                <w:rFonts w:hint="eastAsia" w:cs="Arial"/>
                <w:bCs/>
                <w:sz w:val="21"/>
                <w:szCs w:val="21"/>
                <w:highlight w:val="none"/>
                <w:lang w:val="en-US" w:eastAsia="zh-CN"/>
              </w:rPr>
              <w:t>4</w:t>
            </w:r>
            <w:r>
              <w:rPr>
                <w:rFonts w:hint="eastAsia" w:ascii="宋体" w:hAnsi="宋体" w:eastAsia="宋体" w:cs="Arial"/>
                <w:bCs/>
                <w:sz w:val="21"/>
                <w:szCs w:val="21"/>
                <w:highlight w:val="none"/>
              </w:rPr>
              <w:t>系统应提供工作药历的书写功能，帮助用户快速生成电子化的工作药历；同时，系统应提供工作药历的审阅功能。</w:t>
            </w:r>
          </w:p>
          <w:p w14:paraId="021BE9C7">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Arial"/>
                <w:bCs/>
                <w:sz w:val="21"/>
                <w:szCs w:val="21"/>
                <w:highlight w:val="none"/>
              </w:rPr>
            </w:pPr>
            <w:r>
              <w:rPr>
                <w:rFonts w:hint="eastAsia" w:cs="Arial"/>
                <w:bCs/>
                <w:sz w:val="21"/>
                <w:szCs w:val="21"/>
                <w:highlight w:val="none"/>
                <w:lang w:val="en-US" w:eastAsia="zh-CN"/>
              </w:rPr>
              <w:t>5</w:t>
            </w:r>
            <w:r>
              <w:rPr>
                <w:rFonts w:hint="eastAsia" w:ascii="宋体" w:hAnsi="宋体" w:eastAsia="宋体" w:cs="Arial"/>
                <w:bCs/>
                <w:sz w:val="21"/>
                <w:szCs w:val="21"/>
                <w:highlight w:val="none"/>
                <w:lang w:val="en-US" w:eastAsia="zh-CN"/>
              </w:rPr>
              <w:t>.</w:t>
            </w:r>
            <w:r>
              <w:rPr>
                <w:rFonts w:hint="eastAsia" w:cs="Arial"/>
                <w:bCs/>
                <w:sz w:val="21"/>
                <w:szCs w:val="21"/>
                <w:highlight w:val="none"/>
                <w:lang w:val="en-US" w:eastAsia="zh-CN"/>
              </w:rPr>
              <w:t>5</w:t>
            </w:r>
            <w:r>
              <w:rPr>
                <w:rFonts w:hint="eastAsia" w:ascii="宋体" w:hAnsi="宋体" w:eastAsia="宋体" w:cs="Arial"/>
                <w:bCs/>
                <w:sz w:val="21"/>
                <w:szCs w:val="21"/>
                <w:highlight w:val="none"/>
              </w:rPr>
              <w:t>工作药历应提供导出功能，方便用户导出电子化文档进行存档。</w:t>
            </w:r>
          </w:p>
          <w:p w14:paraId="6AAB98C7">
            <w:pPr>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Arial"/>
                <w:color w:val="auto"/>
                <w:sz w:val="21"/>
                <w:szCs w:val="21"/>
                <w:highlight w:val="none"/>
              </w:rPr>
            </w:pPr>
            <w:r>
              <w:rPr>
                <w:rFonts w:hint="eastAsia" w:cs="Arial"/>
                <w:bCs/>
                <w:sz w:val="21"/>
                <w:szCs w:val="21"/>
                <w:highlight w:val="none"/>
                <w:lang w:val="en-US" w:eastAsia="zh-CN"/>
              </w:rPr>
              <w:t>5</w:t>
            </w:r>
            <w:r>
              <w:rPr>
                <w:rFonts w:hint="eastAsia" w:ascii="宋体" w:hAnsi="宋体" w:eastAsia="宋体" w:cs="Arial"/>
                <w:bCs/>
                <w:sz w:val="21"/>
                <w:szCs w:val="21"/>
                <w:highlight w:val="none"/>
                <w:lang w:val="en-US" w:eastAsia="zh-CN"/>
              </w:rPr>
              <w:t>.</w:t>
            </w:r>
            <w:r>
              <w:rPr>
                <w:rFonts w:hint="eastAsia" w:cs="Arial"/>
                <w:bCs/>
                <w:sz w:val="21"/>
                <w:szCs w:val="21"/>
                <w:highlight w:val="none"/>
                <w:lang w:val="en-US" w:eastAsia="zh-CN"/>
              </w:rPr>
              <w:t>6</w:t>
            </w:r>
            <w:r>
              <w:rPr>
                <w:rFonts w:hint="eastAsia" w:ascii="宋体" w:hAnsi="宋体" w:eastAsia="宋体" w:cs="Arial"/>
                <w:bCs/>
                <w:sz w:val="21"/>
                <w:szCs w:val="21"/>
                <w:highlight w:val="none"/>
              </w:rPr>
              <w:t>系统应提供工作药历的模板自定义功能，用户应可根据管理需要进行开启、关闭、新增、删除相应字段。</w:t>
            </w:r>
          </w:p>
        </w:tc>
      </w:tr>
      <w:tr w14:paraId="3535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vAlign w:val="center"/>
          </w:tcPr>
          <w:p w14:paraId="0E7F7644">
            <w:pPr>
              <w:pStyle w:val="13"/>
              <w:pageBreakBefore w:val="0"/>
              <w:kinsoku/>
              <w:wordWrap/>
              <w:overflowPunct/>
              <w:topLinePunct w:val="0"/>
              <w:autoSpaceDE/>
              <w:autoSpaceDN/>
              <w:bidi w:val="0"/>
              <w:adjustRightInd w:val="0"/>
              <w:snapToGrid w:val="0"/>
              <w:spacing w:line="360" w:lineRule="auto"/>
              <w:ind w:left="420" w:leftChars="0" w:hanging="420" w:firstLineChars="0"/>
              <w:textAlignment w:val="auto"/>
              <w:rPr>
                <w:rFonts w:ascii="宋体" w:hAnsi="宋体" w:eastAsia="宋体"/>
                <w:color w:val="auto"/>
                <w:sz w:val="21"/>
                <w:szCs w:val="21"/>
                <w:highlight w:val="none"/>
              </w:rPr>
            </w:pPr>
          </w:p>
        </w:tc>
        <w:tc>
          <w:tcPr>
            <w:tcW w:w="1286" w:type="dxa"/>
            <w:vMerge w:val="continue"/>
            <w:vAlign w:val="center"/>
          </w:tcPr>
          <w:p w14:paraId="061571A2">
            <w:pPr>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olor w:val="auto"/>
                <w:sz w:val="21"/>
                <w:szCs w:val="21"/>
                <w:highlight w:val="none"/>
              </w:rPr>
            </w:pPr>
          </w:p>
        </w:tc>
        <w:tc>
          <w:tcPr>
            <w:tcW w:w="6276" w:type="dxa"/>
            <w:vAlign w:val="center"/>
          </w:tcPr>
          <w:p w14:paraId="462C79F5">
            <w:pPr>
              <w:pageBreakBefore w:val="0"/>
              <w:kinsoku/>
              <w:wordWrap/>
              <w:overflowPunct/>
              <w:topLinePunct w:val="0"/>
              <w:autoSpaceDE/>
              <w:autoSpaceDN/>
              <w:bidi w:val="0"/>
              <w:adjustRightInd w:val="0"/>
              <w:snapToGrid w:val="0"/>
              <w:spacing w:line="360" w:lineRule="auto"/>
              <w:textAlignment w:val="auto"/>
              <w:rPr>
                <w:rFonts w:ascii="宋体" w:hAnsi="宋体" w:eastAsia="宋体" w:cs="Arial"/>
                <w:bCs/>
                <w:sz w:val="21"/>
                <w:szCs w:val="21"/>
                <w:highlight w:val="none"/>
              </w:rPr>
            </w:pPr>
            <w:r>
              <w:rPr>
                <w:rFonts w:hint="eastAsia" w:cs="Arial"/>
                <w:bCs/>
                <w:sz w:val="21"/>
                <w:szCs w:val="21"/>
                <w:highlight w:val="none"/>
                <w:lang w:val="en-US" w:eastAsia="zh-CN"/>
              </w:rPr>
              <w:t>5</w:t>
            </w:r>
            <w:r>
              <w:rPr>
                <w:rFonts w:hint="eastAsia" w:ascii="宋体" w:hAnsi="宋体" w:eastAsia="宋体" w:cs="Arial"/>
                <w:bCs/>
                <w:sz w:val="21"/>
                <w:szCs w:val="21"/>
                <w:highlight w:val="none"/>
                <w:lang w:val="en-US" w:eastAsia="zh-CN"/>
              </w:rPr>
              <w:t>.</w:t>
            </w:r>
            <w:r>
              <w:rPr>
                <w:rFonts w:hint="eastAsia" w:cs="Arial"/>
                <w:bCs/>
                <w:sz w:val="21"/>
                <w:szCs w:val="21"/>
                <w:highlight w:val="none"/>
                <w:lang w:val="en-US" w:eastAsia="zh-CN"/>
              </w:rPr>
              <w:t>7</w:t>
            </w:r>
            <w:r>
              <w:rPr>
                <w:rFonts w:hint="eastAsia" w:ascii="宋体" w:hAnsi="宋体" w:eastAsia="宋体" w:cs="Arial"/>
                <w:bCs/>
                <w:sz w:val="21"/>
                <w:szCs w:val="21"/>
                <w:highlight w:val="none"/>
              </w:rPr>
              <w:t>系统应提供查房记录的书写功能，帮助用户快速生成电子化的查房记录；同时，系统应提供查房记录的审阅功能。</w:t>
            </w:r>
          </w:p>
          <w:p w14:paraId="7F410378">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Arial"/>
                <w:bCs/>
                <w:sz w:val="21"/>
                <w:szCs w:val="21"/>
                <w:highlight w:val="none"/>
              </w:rPr>
            </w:pPr>
            <w:r>
              <w:rPr>
                <w:rFonts w:hint="eastAsia" w:cs="Arial"/>
                <w:bCs/>
                <w:sz w:val="21"/>
                <w:szCs w:val="21"/>
                <w:highlight w:val="none"/>
                <w:lang w:val="en-US" w:eastAsia="zh-CN"/>
              </w:rPr>
              <w:t>5</w:t>
            </w:r>
            <w:r>
              <w:rPr>
                <w:rFonts w:hint="eastAsia" w:ascii="宋体" w:hAnsi="宋体" w:eastAsia="宋体" w:cs="Arial"/>
                <w:bCs/>
                <w:sz w:val="21"/>
                <w:szCs w:val="21"/>
                <w:highlight w:val="none"/>
                <w:lang w:val="en-US" w:eastAsia="zh-CN"/>
              </w:rPr>
              <w:t>.</w:t>
            </w:r>
            <w:r>
              <w:rPr>
                <w:rFonts w:hint="eastAsia" w:cs="Arial"/>
                <w:bCs/>
                <w:sz w:val="21"/>
                <w:szCs w:val="21"/>
                <w:highlight w:val="none"/>
                <w:lang w:val="en-US" w:eastAsia="zh-CN"/>
              </w:rPr>
              <w:t>8</w:t>
            </w:r>
            <w:r>
              <w:rPr>
                <w:rFonts w:hint="eastAsia" w:ascii="宋体" w:hAnsi="宋体" w:eastAsia="宋体" w:cs="Arial"/>
                <w:bCs/>
                <w:sz w:val="21"/>
                <w:szCs w:val="21"/>
                <w:highlight w:val="none"/>
              </w:rPr>
              <w:t>查房记录应提供导出功能，方便用户导出电子化文档进行存档。</w:t>
            </w:r>
          </w:p>
          <w:p w14:paraId="0722A2A3">
            <w:pPr>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Arial"/>
                <w:color w:val="auto"/>
                <w:sz w:val="21"/>
                <w:szCs w:val="21"/>
                <w:highlight w:val="none"/>
              </w:rPr>
            </w:pPr>
            <w:r>
              <w:rPr>
                <w:rFonts w:hint="eastAsia" w:cs="Arial"/>
                <w:bCs/>
                <w:sz w:val="21"/>
                <w:szCs w:val="21"/>
                <w:highlight w:val="none"/>
                <w:lang w:val="en-US" w:eastAsia="zh-CN"/>
              </w:rPr>
              <w:t>5</w:t>
            </w:r>
            <w:r>
              <w:rPr>
                <w:rFonts w:hint="eastAsia" w:ascii="宋体" w:hAnsi="宋体" w:eastAsia="宋体" w:cs="Arial"/>
                <w:bCs/>
                <w:sz w:val="21"/>
                <w:szCs w:val="21"/>
                <w:highlight w:val="none"/>
                <w:lang w:val="en-US" w:eastAsia="zh-CN"/>
              </w:rPr>
              <w:t>.</w:t>
            </w:r>
            <w:r>
              <w:rPr>
                <w:rFonts w:hint="eastAsia" w:cs="Arial"/>
                <w:bCs/>
                <w:sz w:val="21"/>
                <w:szCs w:val="21"/>
                <w:highlight w:val="none"/>
                <w:lang w:val="en-US" w:eastAsia="zh-CN"/>
              </w:rPr>
              <w:t>9</w:t>
            </w:r>
            <w:r>
              <w:rPr>
                <w:rFonts w:hint="eastAsia" w:ascii="宋体" w:hAnsi="宋体" w:eastAsia="宋体" w:cs="Arial"/>
                <w:bCs/>
                <w:sz w:val="21"/>
                <w:szCs w:val="21"/>
                <w:highlight w:val="none"/>
              </w:rPr>
              <w:t>系统应提供查房记录的模板自定义功能，用户应可根据管理需要进行开启、关闭、新增、删除相应字段。</w:t>
            </w:r>
          </w:p>
        </w:tc>
      </w:tr>
      <w:tr w14:paraId="727B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vAlign w:val="center"/>
          </w:tcPr>
          <w:p w14:paraId="73EAF5EB">
            <w:pPr>
              <w:pStyle w:val="13"/>
              <w:pageBreakBefore w:val="0"/>
              <w:kinsoku/>
              <w:wordWrap/>
              <w:overflowPunct/>
              <w:topLinePunct w:val="0"/>
              <w:autoSpaceDE/>
              <w:autoSpaceDN/>
              <w:bidi w:val="0"/>
              <w:adjustRightInd w:val="0"/>
              <w:snapToGrid w:val="0"/>
              <w:spacing w:line="360" w:lineRule="auto"/>
              <w:ind w:left="420" w:leftChars="0" w:hanging="420" w:firstLineChars="0"/>
              <w:textAlignment w:val="auto"/>
              <w:rPr>
                <w:rFonts w:ascii="宋体" w:hAnsi="宋体" w:eastAsia="宋体"/>
                <w:color w:val="auto"/>
                <w:sz w:val="21"/>
                <w:szCs w:val="21"/>
                <w:highlight w:val="none"/>
              </w:rPr>
            </w:pPr>
          </w:p>
        </w:tc>
        <w:tc>
          <w:tcPr>
            <w:tcW w:w="1286" w:type="dxa"/>
            <w:vMerge w:val="continue"/>
            <w:vAlign w:val="center"/>
          </w:tcPr>
          <w:p w14:paraId="2837A7C4">
            <w:pPr>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olor w:val="auto"/>
                <w:sz w:val="21"/>
                <w:szCs w:val="21"/>
                <w:highlight w:val="none"/>
              </w:rPr>
            </w:pPr>
          </w:p>
        </w:tc>
        <w:tc>
          <w:tcPr>
            <w:tcW w:w="6276" w:type="dxa"/>
            <w:vAlign w:val="center"/>
          </w:tcPr>
          <w:p w14:paraId="2C2C8C85">
            <w:pPr>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Arial"/>
                <w:color w:val="auto"/>
                <w:sz w:val="21"/>
                <w:szCs w:val="21"/>
                <w:highlight w:val="none"/>
              </w:rPr>
            </w:pPr>
            <w:r>
              <w:rPr>
                <w:rFonts w:hint="eastAsia" w:ascii="宋体" w:hAnsi="宋体" w:eastAsia="宋体" w:cs="Arial"/>
                <w:bCs/>
                <w:sz w:val="21"/>
                <w:szCs w:val="21"/>
                <w:highlight w:val="none"/>
              </w:rPr>
              <w:t>系统应提供教学药历、工作药历、查房记录的书写工作量和审阅工作量的统计功能。</w:t>
            </w:r>
          </w:p>
        </w:tc>
      </w:tr>
      <w:tr w14:paraId="2AFB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7" w:type="dxa"/>
            <w:gridSpan w:val="3"/>
            <w:vAlign w:val="center"/>
          </w:tcPr>
          <w:p w14:paraId="2B85793B">
            <w:pPr>
              <w:pStyle w:val="13"/>
              <w:pageBreakBefore w:val="0"/>
              <w:numPr>
                <w:ilvl w:val="0"/>
                <w:numId w:val="3"/>
              </w:numPr>
              <w:kinsoku/>
              <w:wordWrap/>
              <w:overflowPunct/>
              <w:topLinePunct w:val="0"/>
              <w:autoSpaceDE/>
              <w:autoSpaceDN/>
              <w:bidi w:val="0"/>
              <w:adjustRightInd w:val="0"/>
              <w:snapToGrid w:val="0"/>
              <w:spacing w:line="360" w:lineRule="auto"/>
              <w:textAlignment w:val="auto"/>
              <w:rPr>
                <w:rFonts w:ascii="宋体" w:hAnsi="宋体" w:eastAsia="宋体" w:cs="Arial"/>
                <w:color w:val="auto"/>
                <w:sz w:val="21"/>
                <w:szCs w:val="21"/>
                <w:highlight w:val="none"/>
              </w:rPr>
            </w:pPr>
            <w:r>
              <w:rPr>
                <w:rFonts w:hint="eastAsia" w:ascii="宋体" w:hAnsi="宋体" w:eastAsia="宋体"/>
                <w:b/>
                <w:bCs/>
                <w:color w:val="auto"/>
                <w:sz w:val="21"/>
                <w:szCs w:val="21"/>
                <w:highlight w:val="none"/>
              </w:rPr>
              <w:t>药品</w:t>
            </w:r>
            <w:r>
              <w:rPr>
                <w:rFonts w:hint="eastAsia" w:ascii="宋体" w:hAnsi="宋体" w:eastAsia="宋体"/>
                <w:b/>
                <w:bCs/>
                <w:color w:val="auto"/>
                <w:sz w:val="21"/>
                <w:szCs w:val="21"/>
                <w:highlight w:val="none"/>
                <w:lang w:val="en-US" w:eastAsia="zh-CN"/>
              </w:rPr>
              <w:t>使用</w:t>
            </w:r>
            <w:r>
              <w:rPr>
                <w:rFonts w:hint="eastAsia" w:ascii="宋体" w:hAnsi="宋体" w:eastAsia="宋体"/>
                <w:b/>
                <w:bCs/>
                <w:color w:val="auto"/>
                <w:sz w:val="21"/>
                <w:szCs w:val="21"/>
                <w:highlight w:val="none"/>
              </w:rPr>
              <w:t>指标分析</w:t>
            </w:r>
            <w:r>
              <w:rPr>
                <w:rFonts w:hint="eastAsia" w:ascii="宋体" w:hAnsi="宋体" w:eastAsia="宋体"/>
                <w:b/>
                <w:bCs/>
                <w:color w:val="auto"/>
                <w:sz w:val="21"/>
                <w:szCs w:val="21"/>
                <w:highlight w:val="none"/>
                <w:lang w:val="en-US" w:eastAsia="zh-CN"/>
              </w:rPr>
              <w:t>系统</w:t>
            </w:r>
            <w:r>
              <w:rPr>
                <w:rFonts w:hint="eastAsia" w:ascii="宋体" w:hAnsi="宋体" w:eastAsia="宋体"/>
                <w:b/>
                <w:bCs/>
                <w:color w:val="auto"/>
                <w:sz w:val="21"/>
                <w:szCs w:val="21"/>
                <w:highlight w:val="none"/>
              </w:rPr>
              <w:t>功能要求</w:t>
            </w:r>
          </w:p>
        </w:tc>
      </w:tr>
      <w:tr w14:paraId="4724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58556C3F">
            <w:pPr>
              <w:pStyle w:val="13"/>
              <w:pageBreakBefore w:val="0"/>
              <w:numPr>
                <w:ilvl w:val="0"/>
                <w:numId w:val="13"/>
              </w:numPr>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p>
        </w:tc>
        <w:tc>
          <w:tcPr>
            <w:tcW w:w="1286" w:type="dxa"/>
            <w:vAlign w:val="center"/>
          </w:tcPr>
          <w:p w14:paraId="6C5FF403">
            <w:pPr>
              <w:pageBreakBefore w:val="0"/>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r>
              <w:rPr>
                <w:rFonts w:ascii="宋体" w:hAnsi="宋体" w:eastAsia="宋体"/>
                <w:color w:val="auto"/>
                <w:sz w:val="21"/>
                <w:szCs w:val="21"/>
                <w:highlight w:val="none"/>
              </w:rPr>
              <w:t>统计分析</w:t>
            </w:r>
          </w:p>
        </w:tc>
        <w:tc>
          <w:tcPr>
            <w:tcW w:w="6276" w:type="dxa"/>
            <w:vAlign w:val="center"/>
          </w:tcPr>
          <w:p w14:paraId="19F72540">
            <w:pPr>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根据《三级综合医院评审标准实施细则》、《药事管理专业医疗质量控制指标》、《抗菌药物临床应用管理评价指标及要求》等相关规定的要求，提供对医院合理用药指标及药品使用情况的信息化统计分析。</w:t>
            </w:r>
          </w:p>
          <w:p w14:paraId="4D3C3CC3">
            <w:pPr>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系统应利用图文并茂的形式，通过趋势分析、构成分析、主从分析、排名分析等分析手段，提供了大量统计分析报表。</w:t>
            </w:r>
          </w:p>
          <w:p w14:paraId="2ECD8B73">
            <w:pPr>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系统应提供常用报表收藏及报表人工填写功能。</w:t>
            </w:r>
          </w:p>
          <w:p w14:paraId="66A827C5">
            <w:pPr>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系统应提供报表示例模板，在生成报表前了解统计内容。</w:t>
            </w:r>
          </w:p>
          <w:p w14:paraId="6A7852B2">
            <w:pPr>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系统应提供自定义显示和导出报表功能。</w:t>
            </w:r>
          </w:p>
          <w:p w14:paraId="33B836E7">
            <w:pPr>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系统应提供关键字检索功能，便于快速查询指标。</w:t>
            </w:r>
          </w:p>
          <w:p w14:paraId="412EB42E">
            <w:pPr>
              <w:pStyle w:val="3"/>
              <w:pageBreakBefore w:val="0"/>
              <w:numPr>
                <w:ilvl w:val="0"/>
                <w:numId w:val="14"/>
              </w:numPr>
              <w:kinsoku/>
              <w:wordWrap/>
              <w:overflowPunct/>
              <w:topLinePunct w:val="0"/>
              <w:autoSpaceDE/>
              <w:autoSpaceDN/>
              <w:bidi w:val="0"/>
              <w:adjustRightInd w:val="0"/>
              <w:snapToGrid w:val="0"/>
              <w:spacing w:before="0" w:after="0" w:line="360" w:lineRule="auto"/>
              <w:textAlignment w:val="auto"/>
              <w:rPr>
                <w:rFonts w:ascii="宋体" w:hAnsi="宋体" w:cs="Arial"/>
                <w:b w:val="0"/>
                <w:bCs w:val="0"/>
                <w:color w:val="auto"/>
                <w:sz w:val="21"/>
                <w:szCs w:val="21"/>
                <w:highlight w:val="none"/>
              </w:rPr>
            </w:pPr>
            <w:r>
              <w:rPr>
                <w:rFonts w:hint="eastAsia" w:ascii="宋体" w:hAnsi="宋体" w:cs="Arial"/>
                <w:color w:val="auto"/>
                <w:sz w:val="21"/>
                <w:szCs w:val="21"/>
                <w:highlight w:val="none"/>
              </w:rPr>
              <w:t>合理用药指标</w:t>
            </w:r>
          </w:p>
          <w:p w14:paraId="3CE3938B">
            <w:pPr>
              <w:pStyle w:val="4"/>
              <w:pageBreakBefore w:val="0"/>
              <w:numPr>
                <w:ilvl w:val="0"/>
                <w:numId w:val="15"/>
              </w:numPr>
              <w:kinsoku/>
              <w:wordWrap/>
              <w:overflowPunct/>
              <w:topLinePunct w:val="0"/>
              <w:autoSpaceDE/>
              <w:autoSpaceDN/>
              <w:bidi w:val="0"/>
              <w:adjustRightInd w:val="0"/>
              <w:snapToGrid w:val="0"/>
              <w:spacing w:line="360" w:lineRule="auto"/>
              <w:textAlignment w:val="auto"/>
              <w:rPr>
                <w:rFonts w:ascii="宋体" w:hAnsi="宋体" w:cs="Arial"/>
                <w:b/>
                <w:bCs w:val="0"/>
                <w:color w:val="auto"/>
                <w:sz w:val="21"/>
                <w:szCs w:val="21"/>
                <w:highlight w:val="none"/>
              </w:rPr>
            </w:pPr>
            <w:r>
              <w:rPr>
                <w:rFonts w:hint="eastAsia" w:ascii="宋体" w:hAnsi="宋体" w:cs="Arial"/>
                <w:color w:val="auto"/>
                <w:sz w:val="21"/>
                <w:szCs w:val="21"/>
                <w:highlight w:val="none"/>
              </w:rPr>
              <w:t>指标统计</w:t>
            </w:r>
          </w:p>
          <w:p w14:paraId="5B70E414">
            <w:pPr>
              <w:pStyle w:val="13"/>
              <w:pageBreakBefore w:val="0"/>
              <w:numPr>
                <w:ilvl w:val="0"/>
                <w:numId w:val="16"/>
              </w:numPr>
              <w:kinsoku/>
              <w:wordWrap/>
              <w:overflowPunct/>
              <w:topLinePunct w:val="0"/>
              <w:autoSpaceDE/>
              <w:autoSpaceDN/>
              <w:bidi w:val="0"/>
              <w:adjustRightInd w:val="0"/>
              <w:snapToGrid w:val="0"/>
              <w:spacing w:line="360" w:lineRule="auto"/>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系统应提供合理用药相关指标的统计，包括：平均用药品种数、注射剂使用率、特殊级抗菌药物使用率、预防使用抗菌药物病人的百分率、治疗使用抗菌药物病人的百分率</w:t>
            </w:r>
            <w:r>
              <w:rPr>
                <w:rFonts w:ascii="宋体" w:hAnsi="宋体" w:eastAsia="宋体" w:cs="Arial"/>
                <w:bCs/>
                <w:color w:val="auto"/>
                <w:sz w:val="21"/>
                <w:szCs w:val="21"/>
                <w:highlight w:val="none"/>
              </w:rPr>
              <w:t>、抗菌药物患者使用前病原送检率、</w:t>
            </w:r>
            <w:r>
              <w:rPr>
                <w:rFonts w:hint="eastAsia" w:ascii="宋体" w:hAnsi="宋体" w:eastAsia="宋体" w:cs="Arial"/>
                <w:bCs/>
                <w:color w:val="auto"/>
                <w:sz w:val="21"/>
                <w:szCs w:val="21"/>
                <w:highlight w:val="none"/>
              </w:rPr>
              <w:t>X类切口手术预防用抗菌药物百分率、X类切口手术术前0.5-1.0小时预防给药百分率、</w:t>
            </w:r>
            <w:r>
              <w:rPr>
                <w:rFonts w:ascii="宋体" w:hAnsi="宋体" w:eastAsia="宋体" w:cs="Arial"/>
                <w:bCs/>
                <w:color w:val="auto"/>
                <w:sz w:val="21"/>
                <w:szCs w:val="21"/>
                <w:highlight w:val="none"/>
              </w:rPr>
              <w:t>X类切口手术患者预防用抗菌药物时间＜</w:t>
            </w:r>
            <w:r>
              <w:rPr>
                <w:rFonts w:hint="eastAsia" w:ascii="宋体" w:hAnsi="宋体" w:eastAsia="宋体" w:cs="Arial"/>
                <w:bCs/>
                <w:color w:val="auto"/>
                <w:sz w:val="21"/>
                <w:szCs w:val="21"/>
                <w:highlight w:val="none"/>
              </w:rPr>
              <w:t>24h、</w:t>
            </w:r>
            <w:r>
              <w:rPr>
                <w:rFonts w:ascii="宋体" w:hAnsi="宋体" w:eastAsia="宋体" w:cs="Arial"/>
                <w:bCs/>
                <w:color w:val="auto"/>
                <w:sz w:val="21"/>
                <w:szCs w:val="21"/>
                <w:highlight w:val="none"/>
              </w:rPr>
              <w:t>＞24h且≤48h、＞48h且≤72h、＞72h百分率等</w:t>
            </w:r>
            <w:r>
              <w:rPr>
                <w:rFonts w:hint="eastAsia" w:ascii="宋体" w:hAnsi="宋体" w:eastAsia="宋体" w:cs="Arial"/>
                <w:bCs/>
                <w:color w:val="auto"/>
                <w:sz w:val="21"/>
                <w:szCs w:val="21"/>
                <w:highlight w:val="none"/>
              </w:rPr>
              <w:t>。</w:t>
            </w:r>
          </w:p>
          <w:p w14:paraId="2F20D919">
            <w:pPr>
              <w:pStyle w:val="13"/>
              <w:pageBreakBefore w:val="0"/>
              <w:numPr>
                <w:ilvl w:val="0"/>
                <w:numId w:val="16"/>
              </w:numPr>
              <w:kinsoku/>
              <w:wordWrap/>
              <w:overflowPunct/>
              <w:topLinePunct w:val="0"/>
              <w:autoSpaceDE/>
              <w:autoSpaceDN/>
              <w:bidi w:val="0"/>
              <w:adjustRightInd w:val="0"/>
              <w:snapToGrid w:val="0"/>
              <w:spacing w:line="360" w:lineRule="auto"/>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系统应能将上述合理用药指标重新组合并生成新的报表。</w:t>
            </w:r>
          </w:p>
          <w:p w14:paraId="433DD2D6">
            <w:pPr>
              <w:pStyle w:val="13"/>
              <w:pageBreakBefore w:val="0"/>
              <w:numPr>
                <w:ilvl w:val="0"/>
                <w:numId w:val="16"/>
              </w:numPr>
              <w:kinsoku/>
              <w:wordWrap/>
              <w:overflowPunct/>
              <w:topLinePunct w:val="0"/>
              <w:autoSpaceDE/>
              <w:autoSpaceDN/>
              <w:bidi w:val="0"/>
              <w:adjustRightInd w:val="0"/>
              <w:snapToGrid w:val="0"/>
              <w:spacing w:line="360" w:lineRule="auto"/>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系统应能按全院、大科室、科室、医疗组、医生分别进行统计。</w:t>
            </w:r>
          </w:p>
          <w:p w14:paraId="4B53301D">
            <w:pPr>
              <w:pStyle w:val="4"/>
              <w:pageBreakBefore w:val="0"/>
              <w:numPr>
                <w:ilvl w:val="0"/>
                <w:numId w:val="15"/>
              </w:numPr>
              <w:kinsoku/>
              <w:wordWrap/>
              <w:overflowPunct/>
              <w:topLinePunct w:val="0"/>
              <w:autoSpaceDE/>
              <w:autoSpaceDN/>
              <w:bidi w:val="0"/>
              <w:adjustRightInd w:val="0"/>
              <w:snapToGrid w:val="0"/>
              <w:spacing w:line="360" w:lineRule="auto"/>
              <w:textAlignment w:val="auto"/>
              <w:rPr>
                <w:rFonts w:ascii="宋体" w:hAnsi="宋体" w:cs="Arial"/>
                <w:color w:val="auto"/>
                <w:sz w:val="21"/>
                <w:szCs w:val="21"/>
                <w:highlight w:val="none"/>
              </w:rPr>
            </w:pPr>
            <w:r>
              <w:rPr>
                <w:rFonts w:hint="eastAsia" w:ascii="宋体" w:hAnsi="宋体" w:cs="Arial"/>
                <w:color w:val="auto"/>
                <w:sz w:val="21"/>
                <w:szCs w:val="21"/>
                <w:highlight w:val="none"/>
              </w:rPr>
              <w:t>趋势分析</w:t>
            </w:r>
          </w:p>
          <w:p w14:paraId="11500AF8">
            <w:pPr>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系统应能实现抗菌药物使用强度、抗菌药物使用率、抗菌药物使用量、</w:t>
            </w:r>
            <w:r>
              <w:rPr>
                <w:rFonts w:ascii="宋体" w:hAnsi="宋体" w:eastAsia="宋体" w:cs="Arial"/>
                <w:bCs/>
                <w:color w:val="auto"/>
                <w:sz w:val="21"/>
                <w:szCs w:val="21"/>
                <w:highlight w:val="none"/>
              </w:rPr>
              <w:t>I类切口手术预防用抗菌药物百分率</w:t>
            </w:r>
            <w:r>
              <w:rPr>
                <w:rFonts w:hint="eastAsia" w:ascii="宋体" w:hAnsi="宋体" w:eastAsia="宋体" w:cs="Arial"/>
                <w:bCs/>
                <w:color w:val="auto"/>
                <w:sz w:val="21"/>
                <w:szCs w:val="21"/>
                <w:highlight w:val="none"/>
              </w:rPr>
              <w:t>、国家基本药物药占比同比、环比分析。</w:t>
            </w:r>
          </w:p>
          <w:p w14:paraId="5DA4ABEF">
            <w:pPr>
              <w:pStyle w:val="3"/>
              <w:pageBreakBefore w:val="0"/>
              <w:numPr>
                <w:ilvl w:val="0"/>
                <w:numId w:val="14"/>
              </w:numPr>
              <w:kinsoku/>
              <w:wordWrap/>
              <w:overflowPunct/>
              <w:topLinePunct w:val="0"/>
              <w:autoSpaceDE/>
              <w:autoSpaceDN/>
              <w:bidi w:val="0"/>
              <w:adjustRightInd w:val="0"/>
              <w:snapToGrid w:val="0"/>
              <w:spacing w:before="0" w:after="0" w:line="360" w:lineRule="auto"/>
              <w:textAlignment w:val="auto"/>
              <w:rPr>
                <w:rFonts w:ascii="宋体" w:hAnsi="宋体" w:cs="Arial"/>
                <w:b w:val="0"/>
                <w:color w:val="auto"/>
                <w:sz w:val="21"/>
                <w:szCs w:val="21"/>
                <w:highlight w:val="none"/>
              </w:rPr>
            </w:pPr>
            <w:r>
              <w:rPr>
                <w:rFonts w:hint="eastAsia" w:ascii="宋体" w:hAnsi="宋体" w:cs="Arial"/>
                <w:b w:val="0"/>
                <w:color w:val="auto"/>
                <w:sz w:val="21"/>
                <w:szCs w:val="21"/>
                <w:highlight w:val="none"/>
              </w:rPr>
              <w:t>自定义合理用药指标</w:t>
            </w:r>
          </w:p>
          <w:p w14:paraId="0C118729">
            <w:pPr>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系统应提供自定义合理用药指标功能，可自行设置指标分子、分母进行统计。</w:t>
            </w:r>
          </w:p>
          <w:p w14:paraId="1BACAFBE">
            <w:pPr>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自定义要素包含药品、治疗金额、药品金额、处方数、病人数、药品品种数、使用量DDDs、人天数、用药医嘱条目数。</w:t>
            </w:r>
          </w:p>
          <w:p w14:paraId="5CACFCCE">
            <w:pPr>
              <w:pStyle w:val="3"/>
              <w:pageBreakBefore w:val="0"/>
              <w:numPr>
                <w:ilvl w:val="0"/>
                <w:numId w:val="14"/>
              </w:numPr>
              <w:kinsoku/>
              <w:wordWrap/>
              <w:overflowPunct/>
              <w:topLinePunct w:val="0"/>
              <w:autoSpaceDE/>
              <w:autoSpaceDN/>
              <w:bidi w:val="0"/>
              <w:adjustRightInd w:val="0"/>
              <w:snapToGrid w:val="0"/>
              <w:spacing w:before="0" w:after="0" w:line="360" w:lineRule="auto"/>
              <w:textAlignment w:val="auto"/>
              <w:rPr>
                <w:rFonts w:ascii="宋体" w:hAnsi="宋体" w:cs="Arial"/>
                <w:b w:val="0"/>
                <w:color w:val="auto"/>
                <w:sz w:val="21"/>
                <w:szCs w:val="21"/>
                <w:highlight w:val="none"/>
              </w:rPr>
            </w:pPr>
            <w:r>
              <w:rPr>
                <w:rFonts w:hint="eastAsia" w:ascii="宋体" w:hAnsi="宋体" w:cs="Arial"/>
                <w:b w:val="0"/>
                <w:color w:val="auto"/>
                <w:sz w:val="21"/>
                <w:szCs w:val="21"/>
                <w:highlight w:val="none"/>
              </w:rPr>
              <w:t>药品使用强度统计</w:t>
            </w:r>
          </w:p>
          <w:p w14:paraId="5FFD3E94">
            <w:pPr>
              <w:pStyle w:val="4"/>
              <w:pageBreakBefore w:val="0"/>
              <w:numPr>
                <w:ilvl w:val="0"/>
                <w:numId w:val="17"/>
              </w:numPr>
              <w:kinsoku/>
              <w:wordWrap/>
              <w:overflowPunct/>
              <w:topLinePunct w:val="0"/>
              <w:autoSpaceDE/>
              <w:autoSpaceDN/>
              <w:bidi w:val="0"/>
              <w:adjustRightInd w:val="0"/>
              <w:snapToGrid w:val="0"/>
              <w:spacing w:line="360" w:lineRule="auto"/>
              <w:textAlignment w:val="auto"/>
              <w:rPr>
                <w:rFonts w:ascii="宋体" w:hAnsi="宋体" w:cs="Arial"/>
                <w:color w:val="auto"/>
                <w:sz w:val="21"/>
                <w:szCs w:val="21"/>
                <w:highlight w:val="none"/>
              </w:rPr>
            </w:pPr>
            <w:r>
              <w:rPr>
                <w:rFonts w:hint="eastAsia" w:ascii="宋体" w:hAnsi="宋体" w:cs="Arial"/>
                <w:color w:val="auto"/>
                <w:sz w:val="21"/>
                <w:szCs w:val="21"/>
                <w:highlight w:val="none"/>
              </w:rPr>
              <w:t>药品使用强度统计</w:t>
            </w:r>
          </w:p>
          <w:p w14:paraId="0EFDCB77">
            <w:pPr>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系统应能分别按出院时间（费用使用量）、收费时间（费用使用量）和出院时间（医嘱使用量）统计使用强度。可选择排除结核用药、特殊病人。</w:t>
            </w:r>
          </w:p>
          <w:p w14:paraId="35D0CE80">
            <w:pPr>
              <w:pStyle w:val="4"/>
              <w:pageBreakBefore w:val="0"/>
              <w:numPr>
                <w:ilvl w:val="0"/>
                <w:numId w:val="17"/>
              </w:numPr>
              <w:kinsoku/>
              <w:wordWrap/>
              <w:overflowPunct/>
              <w:topLinePunct w:val="0"/>
              <w:autoSpaceDE/>
              <w:autoSpaceDN/>
              <w:bidi w:val="0"/>
              <w:adjustRightInd w:val="0"/>
              <w:snapToGrid w:val="0"/>
              <w:spacing w:line="360" w:lineRule="auto"/>
              <w:textAlignment w:val="auto"/>
              <w:rPr>
                <w:rFonts w:ascii="宋体" w:hAnsi="宋体" w:cs="Arial"/>
                <w:color w:val="auto"/>
                <w:sz w:val="21"/>
                <w:szCs w:val="21"/>
                <w:highlight w:val="none"/>
              </w:rPr>
            </w:pPr>
            <w:r>
              <w:rPr>
                <w:rFonts w:hint="eastAsia" w:ascii="宋体" w:hAnsi="宋体" w:cs="Arial"/>
                <w:color w:val="auto"/>
                <w:sz w:val="21"/>
                <w:szCs w:val="21"/>
                <w:highlight w:val="none"/>
              </w:rPr>
              <w:t>药品使用强度趋势变化分析</w:t>
            </w:r>
          </w:p>
          <w:p w14:paraId="1D596BB9">
            <w:pPr>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系统应能分别按月度（自然月或非自然月）、季度、半年和年度统计药品使用强度及浮动率。</w:t>
            </w:r>
          </w:p>
          <w:p w14:paraId="130A2F51">
            <w:pPr>
              <w:pStyle w:val="3"/>
              <w:pageBreakBefore w:val="0"/>
              <w:numPr>
                <w:ilvl w:val="0"/>
                <w:numId w:val="14"/>
              </w:numPr>
              <w:kinsoku/>
              <w:wordWrap/>
              <w:overflowPunct/>
              <w:topLinePunct w:val="0"/>
              <w:autoSpaceDE/>
              <w:autoSpaceDN/>
              <w:bidi w:val="0"/>
              <w:adjustRightInd w:val="0"/>
              <w:snapToGrid w:val="0"/>
              <w:spacing w:before="0" w:after="0" w:line="360" w:lineRule="auto"/>
              <w:textAlignment w:val="auto"/>
              <w:rPr>
                <w:rFonts w:ascii="宋体" w:hAnsi="宋体" w:cs="Arial"/>
                <w:b w:val="0"/>
                <w:color w:val="auto"/>
                <w:sz w:val="21"/>
                <w:szCs w:val="21"/>
                <w:highlight w:val="none"/>
              </w:rPr>
            </w:pPr>
            <w:r>
              <w:rPr>
                <w:rFonts w:hint="eastAsia" w:ascii="宋体" w:hAnsi="宋体" w:cs="Arial"/>
                <w:b w:val="0"/>
                <w:color w:val="auto"/>
                <w:sz w:val="21"/>
                <w:szCs w:val="21"/>
                <w:highlight w:val="none"/>
              </w:rPr>
              <w:t>药品金额、数量、</w:t>
            </w:r>
            <w:r>
              <w:rPr>
                <w:rFonts w:ascii="宋体" w:hAnsi="宋体" w:cs="Arial"/>
                <w:b w:val="0"/>
                <w:color w:val="auto"/>
                <w:sz w:val="21"/>
                <w:szCs w:val="21"/>
                <w:highlight w:val="none"/>
              </w:rPr>
              <w:t>DDDs统计</w:t>
            </w:r>
          </w:p>
          <w:p w14:paraId="5F6A0907">
            <w:pPr>
              <w:pStyle w:val="4"/>
              <w:pageBreakBefore w:val="0"/>
              <w:numPr>
                <w:ilvl w:val="0"/>
                <w:numId w:val="18"/>
              </w:numPr>
              <w:kinsoku/>
              <w:wordWrap/>
              <w:overflowPunct/>
              <w:topLinePunct w:val="0"/>
              <w:autoSpaceDE/>
              <w:autoSpaceDN/>
              <w:bidi w:val="0"/>
              <w:adjustRightInd w:val="0"/>
              <w:snapToGrid w:val="0"/>
              <w:spacing w:line="360" w:lineRule="auto"/>
              <w:textAlignment w:val="auto"/>
              <w:rPr>
                <w:rFonts w:ascii="宋体" w:hAnsi="宋体" w:cs="Arial"/>
                <w:color w:val="auto"/>
                <w:sz w:val="21"/>
                <w:szCs w:val="21"/>
                <w:highlight w:val="none"/>
              </w:rPr>
            </w:pPr>
            <w:r>
              <w:rPr>
                <w:rFonts w:hint="eastAsia" w:ascii="宋体" w:hAnsi="宋体" w:cs="Arial"/>
                <w:color w:val="auto"/>
                <w:sz w:val="21"/>
                <w:szCs w:val="21"/>
                <w:highlight w:val="none"/>
              </w:rPr>
              <w:t>药品金额、数量及</w:t>
            </w:r>
            <w:r>
              <w:rPr>
                <w:rFonts w:ascii="宋体" w:hAnsi="宋体" w:cs="Arial"/>
                <w:color w:val="auto"/>
                <w:sz w:val="21"/>
                <w:szCs w:val="21"/>
                <w:highlight w:val="none"/>
              </w:rPr>
              <w:t>DDDs使用量统计</w:t>
            </w:r>
          </w:p>
          <w:p w14:paraId="3E6B7F98">
            <w:pPr>
              <w:pStyle w:val="4"/>
              <w:pageBreakBefore w:val="0"/>
              <w:numPr>
                <w:ilvl w:val="0"/>
                <w:numId w:val="18"/>
              </w:numPr>
              <w:kinsoku/>
              <w:wordWrap/>
              <w:overflowPunct/>
              <w:topLinePunct w:val="0"/>
              <w:autoSpaceDE/>
              <w:autoSpaceDN/>
              <w:bidi w:val="0"/>
              <w:adjustRightInd w:val="0"/>
              <w:snapToGrid w:val="0"/>
              <w:spacing w:line="360" w:lineRule="auto"/>
              <w:textAlignment w:val="auto"/>
              <w:rPr>
                <w:rFonts w:ascii="宋体" w:hAnsi="宋体" w:cs="Arial"/>
                <w:color w:val="auto"/>
                <w:sz w:val="21"/>
                <w:szCs w:val="21"/>
                <w:highlight w:val="none"/>
              </w:rPr>
            </w:pPr>
            <w:r>
              <w:rPr>
                <w:rFonts w:hint="eastAsia" w:ascii="宋体" w:hAnsi="宋体" w:cs="Arial"/>
                <w:color w:val="auto"/>
                <w:sz w:val="21"/>
                <w:szCs w:val="21"/>
                <w:highlight w:val="none"/>
              </w:rPr>
              <w:t>药品金额、数量及</w:t>
            </w:r>
            <w:r>
              <w:rPr>
                <w:rFonts w:ascii="宋体" w:hAnsi="宋体" w:cs="Arial"/>
                <w:color w:val="auto"/>
                <w:sz w:val="21"/>
                <w:szCs w:val="21"/>
                <w:highlight w:val="none"/>
              </w:rPr>
              <w:t>DDDs趋势变化分析</w:t>
            </w:r>
            <w:r>
              <w:rPr>
                <w:rFonts w:hint="eastAsia" w:ascii="宋体" w:hAnsi="宋体" w:cs="Arial"/>
                <w:color w:val="auto"/>
                <w:sz w:val="21"/>
                <w:szCs w:val="21"/>
                <w:highlight w:val="none"/>
              </w:rPr>
              <w:t>，系统应能分别按月度、季度、半年和年度统计药品金额、数量、</w:t>
            </w:r>
            <w:r>
              <w:rPr>
                <w:rFonts w:ascii="宋体" w:hAnsi="宋体" w:cs="Arial"/>
                <w:color w:val="auto"/>
                <w:sz w:val="21"/>
                <w:szCs w:val="21"/>
                <w:highlight w:val="none"/>
              </w:rPr>
              <w:t>DDDs</w:t>
            </w:r>
            <w:r>
              <w:rPr>
                <w:rFonts w:hint="eastAsia" w:ascii="宋体" w:hAnsi="宋体" w:cs="Arial"/>
                <w:color w:val="auto"/>
                <w:sz w:val="21"/>
                <w:szCs w:val="21"/>
                <w:highlight w:val="none"/>
              </w:rPr>
              <w:t>及浮动率，应能分别提供药品金额、数量、DDDs同比环比分析</w:t>
            </w:r>
          </w:p>
          <w:p w14:paraId="2EFBE4F1">
            <w:pPr>
              <w:pStyle w:val="4"/>
              <w:pageBreakBefore w:val="0"/>
              <w:numPr>
                <w:ilvl w:val="0"/>
                <w:numId w:val="18"/>
              </w:numPr>
              <w:kinsoku/>
              <w:wordWrap/>
              <w:overflowPunct/>
              <w:topLinePunct w:val="0"/>
              <w:autoSpaceDE/>
              <w:autoSpaceDN/>
              <w:bidi w:val="0"/>
              <w:adjustRightInd w:val="0"/>
              <w:snapToGrid w:val="0"/>
              <w:spacing w:line="360" w:lineRule="auto"/>
              <w:textAlignment w:val="auto"/>
              <w:rPr>
                <w:rFonts w:ascii="宋体" w:hAnsi="宋体" w:cs="Arial"/>
                <w:color w:val="auto"/>
                <w:sz w:val="21"/>
                <w:szCs w:val="21"/>
                <w:highlight w:val="none"/>
              </w:rPr>
            </w:pPr>
            <w:r>
              <w:rPr>
                <w:rFonts w:hint="eastAsia" w:ascii="宋体" w:hAnsi="宋体" w:cs="Arial"/>
                <w:color w:val="auto"/>
                <w:sz w:val="21"/>
                <w:szCs w:val="21"/>
                <w:highlight w:val="none"/>
              </w:rPr>
              <w:t>药品金额、数量统计并排名</w:t>
            </w:r>
          </w:p>
          <w:p w14:paraId="3E733F77">
            <w:pPr>
              <w:pStyle w:val="3"/>
              <w:pageBreakBefore w:val="0"/>
              <w:numPr>
                <w:ilvl w:val="0"/>
                <w:numId w:val="14"/>
              </w:numPr>
              <w:kinsoku/>
              <w:wordWrap/>
              <w:overflowPunct/>
              <w:topLinePunct w:val="0"/>
              <w:autoSpaceDE/>
              <w:autoSpaceDN/>
              <w:bidi w:val="0"/>
              <w:adjustRightInd w:val="0"/>
              <w:snapToGrid w:val="0"/>
              <w:spacing w:before="0" w:after="0" w:line="360" w:lineRule="auto"/>
              <w:textAlignment w:val="auto"/>
              <w:rPr>
                <w:rFonts w:ascii="宋体" w:hAnsi="宋体" w:cs="Arial"/>
                <w:b w:val="0"/>
                <w:color w:val="auto"/>
                <w:sz w:val="21"/>
                <w:szCs w:val="21"/>
                <w:highlight w:val="none"/>
              </w:rPr>
            </w:pPr>
            <w:r>
              <w:rPr>
                <w:rFonts w:hint="eastAsia" w:ascii="宋体" w:hAnsi="宋体" w:cs="Arial"/>
                <w:b w:val="0"/>
                <w:color w:val="auto"/>
                <w:sz w:val="21"/>
                <w:szCs w:val="21"/>
                <w:highlight w:val="none"/>
              </w:rPr>
              <w:t>药品使用人次统计</w:t>
            </w:r>
          </w:p>
          <w:p w14:paraId="622C4130">
            <w:pPr>
              <w:pStyle w:val="3"/>
              <w:pageBreakBefore w:val="0"/>
              <w:numPr>
                <w:ilvl w:val="0"/>
                <w:numId w:val="14"/>
              </w:numPr>
              <w:kinsoku/>
              <w:wordWrap/>
              <w:overflowPunct/>
              <w:topLinePunct w:val="0"/>
              <w:autoSpaceDE/>
              <w:autoSpaceDN/>
              <w:bidi w:val="0"/>
              <w:adjustRightInd w:val="0"/>
              <w:snapToGrid w:val="0"/>
              <w:spacing w:before="0" w:after="0" w:line="360" w:lineRule="auto"/>
              <w:textAlignment w:val="auto"/>
              <w:rPr>
                <w:rFonts w:ascii="宋体" w:hAnsi="宋体" w:cs="Arial"/>
                <w:b w:val="0"/>
                <w:color w:val="auto"/>
                <w:sz w:val="21"/>
                <w:szCs w:val="21"/>
                <w:highlight w:val="none"/>
              </w:rPr>
            </w:pPr>
            <w:r>
              <w:rPr>
                <w:rFonts w:hint="eastAsia" w:ascii="宋体" w:hAnsi="宋体" w:cs="Arial"/>
                <w:b w:val="0"/>
                <w:color w:val="auto"/>
                <w:sz w:val="21"/>
                <w:szCs w:val="21"/>
                <w:highlight w:val="none"/>
              </w:rPr>
              <w:t>注射剂</w:t>
            </w:r>
            <w:r>
              <w:rPr>
                <w:rFonts w:ascii="宋体" w:hAnsi="宋体" w:cs="Arial"/>
                <w:b w:val="0"/>
                <w:color w:val="auto"/>
                <w:sz w:val="21"/>
                <w:szCs w:val="21"/>
                <w:highlight w:val="none"/>
              </w:rPr>
              <w:t>/大容量注射液统计</w:t>
            </w:r>
          </w:p>
          <w:p w14:paraId="23FD8DE6">
            <w:pPr>
              <w:pStyle w:val="3"/>
              <w:pageBreakBefore w:val="0"/>
              <w:numPr>
                <w:ilvl w:val="0"/>
                <w:numId w:val="14"/>
              </w:numPr>
              <w:kinsoku/>
              <w:wordWrap/>
              <w:overflowPunct/>
              <w:topLinePunct w:val="0"/>
              <w:autoSpaceDE/>
              <w:autoSpaceDN/>
              <w:bidi w:val="0"/>
              <w:adjustRightInd w:val="0"/>
              <w:snapToGrid w:val="0"/>
              <w:spacing w:before="0" w:after="0" w:line="360" w:lineRule="auto"/>
              <w:textAlignment w:val="auto"/>
              <w:rPr>
                <w:rFonts w:ascii="宋体" w:hAnsi="宋体" w:cs="Arial"/>
                <w:b w:val="0"/>
                <w:color w:val="auto"/>
                <w:sz w:val="21"/>
                <w:szCs w:val="21"/>
                <w:highlight w:val="none"/>
              </w:rPr>
            </w:pPr>
            <w:r>
              <w:rPr>
                <w:rFonts w:hint="eastAsia" w:ascii="宋体" w:hAnsi="宋体" w:cs="Arial"/>
                <w:b w:val="0"/>
                <w:color w:val="auto"/>
                <w:sz w:val="21"/>
                <w:szCs w:val="21"/>
                <w:highlight w:val="none"/>
              </w:rPr>
              <w:t>药品品种</w:t>
            </w:r>
            <w:r>
              <w:rPr>
                <w:rFonts w:ascii="宋体" w:hAnsi="宋体" w:cs="Arial"/>
                <w:b w:val="0"/>
                <w:color w:val="auto"/>
                <w:sz w:val="21"/>
                <w:szCs w:val="21"/>
                <w:highlight w:val="none"/>
              </w:rPr>
              <w:t>/费用构成统计</w:t>
            </w:r>
          </w:p>
          <w:p w14:paraId="5AD7BC8E">
            <w:pPr>
              <w:pStyle w:val="3"/>
              <w:pageBreakBefore w:val="0"/>
              <w:numPr>
                <w:ilvl w:val="0"/>
                <w:numId w:val="14"/>
              </w:numPr>
              <w:kinsoku/>
              <w:wordWrap/>
              <w:overflowPunct/>
              <w:topLinePunct w:val="0"/>
              <w:autoSpaceDE/>
              <w:autoSpaceDN/>
              <w:bidi w:val="0"/>
              <w:adjustRightInd w:val="0"/>
              <w:snapToGrid w:val="0"/>
              <w:spacing w:before="0" w:after="0" w:line="360" w:lineRule="auto"/>
              <w:textAlignment w:val="auto"/>
              <w:rPr>
                <w:rFonts w:ascii="宋体" w:hAnsi="宋体" w:cs="Arial"/>
                <w:b w:val="0"/>
                <w:color w:val="auto"/>
                <w:sz w:val="21"/>
                <w:szCs w:val="21"/>
                <w:highlight w:val="none"/>
              </w:rPr>
            </w:pPr>
            <w:r>
              <w:rPr>
                <w:rFonts w:hint="eastAsia" w:ascii="宋体" w:hAnsi="宋体" w:cs="Arial"/>
                <w:b w:val="0"/>
                <w:color w:val="auto"/>
                <w:sz w:val="21"/>
                <w:szCs w:val="21"/>
                <w:highlight w:val="none"/>
              </w:rPr>
              <w:t>门（急）诊大处方分析</w:t>
            </w:r>
          </w:p>
          <w:p w14:paraId="0E57EF5F">
            <w:pPr>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可实现超</w:t>
            </w:r>
            <w:r>
              <w:rPr>
                <w:rFonts w:ascii="宋体" w:hAnsi="宋体" w:eastAsia="宋体" w:cs="Arial"/>
                <w:bCs/>
                <w:color w:val="auto"/>
                <w:sz w:val="21"/>
                <w:szCs w:val="21"/>
                <w:highlight w:val="none"/>
              </w:rPr>
              <w:t>N种处方、超N元处方、超N天处方、超N</w:t>
            </w:r>
            <w:r>
              <w:rPr>
                <w:rFonts w:hint="eastAsia" w:ascii="宋体" w:hAnsi="宋体" w:eastAsia="宋体" w:cs="Arial"/>
                <w:bCs/>
                <w:color w:val="auto"/>
                <w:sz w:val="21"/>
                <w:szCs w:val="21"/>
                <w:highlight w:val="none"/>
              </w:rPr>
              <w:t>次就诊患者统计</w:t>
            </w:r>
          </w:p>
          <w:p w14:paraId="1A56E0B2">
            <w:pPr>
              <w:pStyle w:val="3"/>
              <w:pageBreakBefore w:val="0"/>
              <w:numPr>
                <w:ilvl w:val="0"/>
                <w:numId w:val="14"/>
              </w:numPr>
              <w:kinsoku/>
              <w:wordWrap/>
              <w:overflowPunct/>
              <w:topLinePunct w:val="0"/>
              <w:autoSpaceDE/>
              <w:autoSpaceDN/>
              <w:bidi w:val="0"/>
              <w:adjustRightInd w:val="0"/>
              <w:snapToGrid w:val="0"/>
              <w:spacing w:before="0" w:after="0" w:line="360" w:lineRule="auto"/>
              <w:textAlignment w:val="auto"/>
              <w:rPr>
                <w:rFonts w:ascii="宋体" w:hAnsi="宋体" w:cs="Arial"/>
                <w:b w:val="0"/>
                <w:color w:val="auto"/>
                <w:sz w:val="21"/>
                <w:szCs w:val="21"/>
                <w:highlight w:val="none"/>
              </w:rPr>
            </w:pPr>
            <w:r>
              <w:rPr>
                <w:rFonts w:hint="eastAsia" w:ascii="宋体" w:hAnsi="宋体" w:cs="Arial"/>
                <w:b w:val="0"/>
                <w:color w:val="auto"/>
                <w:sz w:val="21"/>
                <w:szCs w:val="21"/>
                <w:highlight w:val="none"/>
              </w:rPr>
              <w:t>抗菌药物使用清单及统计</w:t>
            </w:r>
          </w:p>
          <w:p w14:paraId="075C3744">
            <w:pPr>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可实现门（急）诊</w:t>
            </w:r>
            <w:r>
              <w:rPr>
                <w:rFonts w:ascii="宋体" w:hAnsi="宋体" w:eastAsia="宋体" w:cs="Arial"/>
                <w:bCs/>
                <w:color w:val="auto"/>
                <w:sz w:val="21"/>
                <w:szCs w:val="21"/>
                <w:highlight w:val="none"/>
              </w:rPr>
              <w:t>/出院病人</w:t>
            </w:r>
            <w:r>
              <w:rPr>
                <w:rFonts w:hint="eastAsia" w:ascii="宋体" w:hAnsi="宋体" w:eastAsia="宋体" w:cs="Arial"/>
                <w:bCs/>
                <w:color w:val="auto"/>
                <w:sz w:val="21"/>
                <w:szCs w:val="21"/>
                <w:highlight w:val="none"/>
              </w:rPr>
              <w:t>及围术期抗菌药物使用情况、送检率（可自定义送检项目）、越权用药情况、抗菌药物使用情况分析等统计</w:t>
            </w:r>
          </w:p>
          <w:p w14:paraId="21DEF554">
            <w:pPr>
              <w:pStyle w:val="3"/>
              <w:pageBreakBefore w:val="0"/>
              <w:numPr>
                <w:ilvl w:val="0"/>
                <w:numId w:val="14"/>
              </w:numPr>
              <w:kinsoku/>
              <w:wordWrap/>
              <w:overflowPunct/>
              <w:topLinePunct w:val="0"/>
              <w:autoSpaceDE/>
              <w:autoSpaceDN/>
              <w:bidi w:val="0"/>
              <w:adjustRightInd w:val="0"/>
              <w:snapToGrid w:val="0"/>
              <w:spacing w:before="0" w:after="0" w:line="360" w:lineRule="auto"/>
              <w:textAlignment w:val="auto"/>
              <w:rPr>
                <w:rFonts w:ascii="宋体" w:hAnsi="宋体" w:cs="Arial"/>
                <w:b w:val="0"/>
                <w:color w:val="auto"/>
                <w:sz w:val="21"/>
                <w:szCs w:val="21"/>
                <w:highlight w:val="none"/>
              </w:rPr>
            </w:pPr>
            <w:r>
              <w:rPr>
                <w:rFonts w:hint="eastAsia" w:ascii="宋体" w:hAnsi="宋体" w:cs="Arial"/>
                <w:b w:val="0"/>
                <w:color w:val="auto"/>
                <w:sz w:val="21"/>
                <w:szCs w:val="21"/>
                <w:highlight w:val="none"/>
              </w:rPr>
              <w:t>基本药物使用清单及统计</w:t>
            </w:r>
          </w:p>
          <w:p w14:paraId="10E0E821">
            <w:pPr>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可实现基药品种数、基物品种总数所占比例等统计</w:t>
            </w:r>
          </w:p>
          <w:p w14:paraId="7A500955">
            <w:pPr>
              <w:pStyle w:val="3"/>
              <w:pageBreakBefore w:val="0"/>
              <w:numPr>
                <w:ilvl w:val="0"/>
                <w:numId w:val="14"/>
              </w:numPr>
              <w:kinsoku/>
              <w:wordWrap/>
              <w:overflowPunct/>
              <w:topLinePunct w:val="0"/>
              <w:autoSpaceDE/>
              <w:autoSpaceDN/>
              <w:bidi w:val="0"/>
              <w:adjustRightInd w:val="0"/>
              <w:snapToGrid w:val="0"/>
              <w:spacing w:before="0" w:after="0" w:line="360" w:lineRule="auto"/>
              <w:textAlignment w:val="auto"/>
              <w:rPr>
                <w:rFonts w:ascii="宋体" w:hAnsi="宋体" w:cs="Arial"/>
                <w:b w:val="0"/>
                <w:color w:val="auto"/>
                <w:sz w:val="21"/>
                <w:szCs w:val="21"/>
                <w:highlight w:val="none"/>
              </w:rPr>
            </w:pPr>
            <w:r>
              <w:rPr>
                <w:rFonts w:hint="eastAsia" w:ascii="宋体" w:hAnsi="宋体" w:cs="Arial"/>
                <w:b w:val="0"/>
                <w:color w:val="auto"/>
                <w:sz w:val="21"/>
                <w:szCs w:val="21"/>
                <w:highlight w:val="none"/>
              </w:rPr>
              <w:t>麻精药品管理处方登记表</w:t>
            </w:r>
          </w:p>
          <w:p w14:paraId="05269D59">
            <w:pPr>
              <w:pStyle w:val="3"/>
              <w:pageBreakBefore w:val="0"/>
              <w:numPr>
                <w:ilvl w:val="0"/>
                <w:numId w:val="14"/>
              </w:numPr>
              <w:kinsoku/>
              <w:wordWrap/>
              <w:overflowPunct/>
              <w:topLinePunct w:val="0"/>
              <w:autoSpaceDE/>
              <w:autoSpaceDN/>
              <w:bidi w:val="0"/>
              <w:adjustRightInd w:val="0"/>
              <w:snapToGrid w:val="0"/>
              <w:spacing w:before="0" w:after="0" w:line="360" w:lineRule="auto"/>
              <w:textAlignment w:val="auto"/>
              <w:rPr>
                <w:rFonts w:ascii="宋体" w:hAnsi="宋体" w:cs="Arial"/>
                <w:b w:val="0"/>
                <w:color w:val="auto"/>
                <w:sz w:val="21"/>
                <w:szCs w:val="21"/>
                <w:highlight w:val="none"/>
              </w:rPr>
            </w:pPr>
            <w:r>
              <w:rPr>
                <w:rFonts w:hint="eastAsia" w:ascii="宋体" w:hAnsi="宋体" w:cs="Arial"/>
                <w:b w:val="0"/>
                <w:color w:val="auto"/>
                <w:sz w:val="21"/>
                <w:szCs w:val="21"/>
                <w:highlight w:val="none"/>
              </w:rPr>
              <w:t>国家三级公立医院绩效考核</w:t>
            </w:r>
          </w:p>
          <w:p w14:paraId="0D5BAE88">
            <w:pPr>
              <w:pStyle w:val="4"/>
              <w:pageBreakBefore w:val="0"/>
              <w:numPr>
                <w:ilvl w:val="0"/>
                <w:numId w:val="19"/>
              </w:numPr>
              <w:kinsoku/>
              <w:wordWrap/>
              <w:overflowPunct/>
              <w:topLinePunct w:val="0"/>
              <w:autoSpaceDE/>
              <w:autoSpaceDN/>
              <w:bidi w:val="0"/>
              <w:adjustRightInd w:val="0"/>
              <w:snapToGrid w:val="0"/>
              <w:spacing w:line="360" w:lineRule="auto"/>
              <w:textAlignment w:val="auto"/>
              <w:rPr>
                <w:rFonts w:ascii="宋体" w:hAnsi="宋体" w:cs="Arial"/>
                <w:color w:val="auto"/>
                <w:sz w:val="21"/>
                <w:szCs w:val="21"/>
                <w:highlight w:val="none"/>
              </w:rPr>
            </w:pPr>
            <w:r>
              <w:rPr>
                <w:rFonts w:hint="eastAsia" w:ascii="宋体" w:hAnsi="宋体" w:cs="Arial"/>
                <w:color w:val="auto"/>
                <w:sz w:val="21"/>
                <w:szCs w:val="21"/>
                <w:highlight w:val="none"/>
              </w:rPr>
              <w:t>国家三级公立医院绩效考核评价指标</w:t>
            </w:r>
          </w:p>
          <w:p w14:paraId="2C175C64">
            <w:pPr>
              <w:pStyle w:val="4"/>
              <w:pageBreakBefore w:val="0"/>
              <w:numPr>
                <w:ilvl w:val="0"/>
                <w:numId w:val="19"/>
              </w:numPr>
              <w:kinsoku/>
              <w:wordWrap/>
              <w:overflowPunct/>
              <w:topLinePunct w:val="0"/>
              <w:autoSpaceDE/>
              <w:autoSpaceDN/>
              <w:bidi w:val="0"/>
              <w:adjustRightInd w:val="0"/>
              <w:snapToGrid w:val="0"/>
              <w:spacing w:line="360" w:lineRule="auto"/>
              <w:textAlignment w:val="auto"/>
              <w:rPr>
                <w:rFonts w:ascii="宋体" w:hAnsi="宋体" w:cs="Arial"/>
                <w:color w:val="auto"/>
                <w:sz w:val="21"/>
                <w:szCs w:val="21"/>
                <w:highlight w:val="none"/>
              </w:rPr>
            </w:pPr>
            <w:r>
              <w:rPr>
                <w:rFonts w:hint="eastAsia" w:ascii="宋体" w:hAnsi="宋体" w:cs="Arial"/>
                <w:color w:val="auto"/>
                <w:sz w:val="21"/>
                <w:szCs w:val="21"/>
                <w:highlight w:val="none"/>
              </w:rPr>
              <w:t>国家三级公立医院绩效评价指标科室统计表</w:t>
            </w:r>
          </w:p>
          <w:p w14:paraId="19F58478">
            <w:pPr>
              <w:pStyle w:val="4"/>
              <w:pageBreakBefore w:val="0"/>
              <w:numPr>
                <w:ilvl w:val="0"/>
                <w:numId w:val="19"/>
              </w:numPr>
              <w:kinsoku/>
              <w:wordWrap/>
              <w:overflowPunct/>
              <w:topLinePunct w:val="0"/>
              <w:autoSpaceDE/>
              <w:autoSpaceDN/>
              <w:bidi w:val="0"/>
              <w:adjustRightInd w:val="0"/>
              <w:snapToGrid w:val="0"/>
              <w:spacing w:line="360" w:lineRule="auto"/>
              <w:textAlignment w:val="auto"/>
              <w:rPr>
                <w:rFonts w:ascii="宋体" w:hAnsi="宋体" w:cs="Arial"/>
                <w:color w:val="auto"/>
                <w:sz w:val="21"/>
                <w:szCs w:val="21"/>
                <w:highlight w:val="none"/>
              </w:rPr>
            </w:pPr>
            <w:r>
              <w:rPr>
                <w:rFonts w:hint="eastAsia" w:ascii="宋体" w:hAnsi="宋体" w:cs="Arial"/>
                <w:color w:val="auto"/>
                <w:sz w:val="21"/>
                <w:szCs w:val="21"/>
                <w:highlight w:val="none"/>
              </w:rPr>
              <w:t>国家三级公立中医医院绩效考核评价指标</w:t>
            </w:r>
          </w:p>
          <w:p w14:paraId="6EE6961F">
            <w:pPr>
              <w:pStyle w:val="4"/>
              <w:pageBreakBefore w:val="0"/>
              <w:numPr>
                <w:ilvl w:val="0"/>
                <w:numId w:val="19"/>
              </w:numPr>
              <w:kinsoku/>
              <w:wordWrap/>
              <w:overflowPunct/>
              <w:topLinePunct w:val="0"/>
              <w:autoSpaceDE/>
              <w:autoSpaceDN/>
              <w:bidi w:val="0"/>
              <w:adjustRightInd w:val="0"/>
              <w:snapToGrid w:val="0"/>
              <w:spacing w:line="360" w:lineRule="auto"/>
              <w:textAlignment w:val="auto"/>
              <w:rPr>
                <w:rFonts w:ascii="宋体" w:hAnsi="宋体" w:cs="Arial"/>
                <w:color w:val="auto"/>
                <w:sz w:val="21"/>
                <w:szCs w:val="21"/>
                <w:highlight w:val="none"/>
              </w:rPr>
            </w:pPr>
            <w:r>
              <w:rPr>
                <w:rFonts w:hint="eastAsia" w:ascii="宋体" w:hAnsi="宋体" w:cs="Arial"/>
                <w:color w:val="auto"/>
                <w:sz w:val="21"/>
                <w:szCs w:val="21"/>
                <w:highlight w:val="none"/>
              </w:rPr>
              <w:t>剔除药品使用情况统计表</w:t>
            </w:r>
          </w:p>
          <w:p w14:paraId="57C85158">
            <w:pPr>
              <w:pStyle w:val="4"/>
              <w:pageBreakBefore w:val="0"/>
              <w:numPr>
                <w:ilvl w:val="0"/>
                <w:numId w:val="19"/>
              </w:numPr>
              <w:kinsoku/>
              <w:wordWrap/>
              <w:overflowPunct/>
              <w:topLinePunct w:val="0"/>
              <w:autoSpaceDE/>
              <w:autoSpaceDN/>
              <w:bidi w:val="0"/>
              <w:adjustRightInd w:val="0"/>
              <w:snapToGrid w:val="0"/>
              <w:spacing w:line="360" w:lineRule="auto"/>
              <w:textAlignment w:val="auto"/>
              <w:rPr>
                <w:rFonts w:ascii="宋体" w:hAnsi="宋体" w:cs="Arial"/>
                <w:color w:val="auto"/>
                <w:sz w:val="21"/>
                <w:szCs w:val="21"/>
                <w:highlight w:val="none"/>
              </w:rPr>
            </w:pPr>
            <w:r>
              <w:rPr>
                <w:rFonts w:hint="eastAsia" w:ascii="宋体" w:hAnsi="宋体" w:cs="Arial"/>
                <w:color w:val="auto"/>
                <w:sz w:val="21"/>
                <w:szCs w:val="21"/>
                <w:highlight w:val="none"/>
              </w:rPr>
              <w:t>罕见病用药情况统计表</w:t>
            </w:r>
          </w:p>
          <w:p w14:paraId="6185881D">
            <w:pPr>
              <w:pStyle w:val="3"/>
              <w:pageBreakBefore w:val="0"/>
              <w:numPr>
                <w:ilvl w:val="0"/>
                <w:numId w:val="14"/>
              </w:numPr>
              <w:kinsoku/>
              <w:wordWrap/>
              <w:overflowPunct/>
              <w:topLinePunct w:val="0"/>
              <w:autoSpaceDE/>
              <w:autoSpaceDN/>
              <w:bidi w:val="0"/>
              <w:adjustRightInd w:val="0"/>
              <w:snapToGrid w:val="0"/>
              <w:spacing w:before="0" w:after="0" w:line="360" w:lineRule="auto"/>
              <w:textAlignment w:val="auto"/>
              <w:rPr>
                <w:rFonts w:ascii="宋体" w:hAnsi="宋体" w:cs="Arial"/>
                <w:b w:val="0"/>
                <w:color w:val="auto"/>
                <w:sz w:val="21"/>
                <w:szCs w:val="21"/>
                <w:highlight w:val="none"/>
              </w:rPr>
            </w:pPr>
            <w:r>
              <w:rPr>
                <w:rFonts w:hint="eastAsia" w:ascii="宋体" w:hAnsi="宋体" w:cs="Arial"/>
                <w:b w:val="0"/>
                <w:color w:val="auto"/>
                <w:sz w:val="21"/>
                <w:szCs w:val="21"/>
                <w:highlight w:val="none"/>
              </w:rPr>
              <w:t>药事管理专业医疗质量控制指标</w:t>
            </w:r>
          </w:p>
          <w:p w14:paraId="66FE8BFF">
            <w:pPr>
              <w:pStyle w:val="3"/>
              <w:pageBreakBefore w:val="0"/>
              <w:numPr>
                <w:ilvl w:val="0"/>
                <w:numId w:val="14"/>
              </w:numPr>
              <w:kinsoku/>
              <w:wordWrap/>
              <w:overflowPunct/>
              <w:topLinePunct w:val="0"/>
              <w:autoSpaceDE/>
              <w:autoSpaceDN/>
              <w:bidi w:val="0"/>
              <w:adjustRightInd w:val="0"/>
              <w:snapToGrid w:val="0"/>
              <w:spacing w:before="0" w:after="0" w:line="360" w:lineRule="auto"/>
              <w:textAlignment w:val="auto"/>
              <w:rPr>
                <w:rFonts w:ascii="宋体" w:hAnsi="宋体" w:cs="Arial"/>
                <w:b w:val="0"/>
                <w:color w:val="auto"/>
                <w:sz w:val="21"/>
                <w:szCs w:val="21"/>
                <w:highlight w:val="none"/>
              </w:rPr>
            </w:pPr>
            <w:r>
              <w:rPr>
                <w:rFonts w:hint="eastAsia" w:ascii="宋体" w:hAnsi="宋体" w:cs="Arial"/>
                <w:b w:val="0"/>
                <w:color w:val="auto"/>
                <w:sz w:val="21"/>
                <w:szCs w:val="21"/>
                <w:highlight w:val="none"/>
              </w:rPr>
              <w:t>全国抗菌药物临床应用管理</w:t>
            </w:r>
          </w:p>
          <w:p w14:paraId="135E345B">
            <w:pPr>
              <w:pStyle w:val="4"/>
              <w:pageBreakBefore w:val="0"/>
              <w:numPr>
                <w:ilvl w:val="0"/>
                <w:numId w:val="20"/>
              </w:numPr>
              <w:kinsoku/>
              <w:wordWrap/>
              <w:overflowPunct/>
              <w:topLinePunct w:val="0"/>
              <w:autoSpaceDE/>
              <w:autoSpaceDN/>
              <w:bidi w:val="0"/>
              <w:adjustRightInd w:val="0"/>
              <w:snapToGrid w:val="0"/>
              <w:spacing w:line="360" w:lineRule="auto"/>
              <w:textAlignment w:val="auto"/>
              <w:rPr>
                <w:rFonts w:ascii="宋体" w:hAnsi="宋体" w:cs="Arial"/>
                <w:color w:val="auto"/>
                <w:sz w:val="21"/>
                <w:szCs w:val="21"/>
                <w:highlight w:val="none"/>
              </w:rPr>
            </w:pPr>
            <w:r>
              <w:rPr>
                <w:rFonts w:hint="eastAsia" w:ascii="宋体" w:hAnsi="宋体" w:cs="Arial"/>
                <w:color w:val="auto"/>
                <w:sz w:val="21"/>
                <w:szCs w:val="21"/>
                <w:highlight w:val="none"/>
              </w:rPr>
              <w:t>医疗机构碳青霉烯类抗菌药物及替加环素使用情况统计</w:t>
            </w:r>
          </w:p>
          <w:p w14:paraId="3C4348BD">
            <w:pPr>
              <w:pStyle w:val="4"/>
              <w:pageBreakBefore w:val="0"/>
              <w:numPr>
                <w:ilvl w:val="0"/>
                <w:numId w:val="20"/>
              </w:numPr>
              <w:kinsoku/>
              <w:wordWrap/>
              <w:overflowPunct/>
              <w:topLinePunct w:val="0"/>
              <w:autoSpaceDE/>
              <w:autoSpaceDN/>
              <w:bidi w:val="0"/>
              <w:adjustRightInd w:val="0"/>
              <w:snapToGrid w:val="0"/>
              <w:spacing w:line="360" w:lineRule="auto"/>
              <w:textAlignment w:val="auto"/>
              <w:rPr>
                <w:rFonts w:ascii="宋体" w:hAnsi="宋体" w:cs="Arial"/>
                <w:color w:val="auto"/>
                <w:sz w:val="21"/>
                <w:szCs w:val="21"/>
                <w:highlight w:val="none"/>
              </w:rPr>
            </w:pPr>
            <w:r>
              <w:rPr>
                <w:rFonts w:hint="eastAsia" w:ascii="宋体" w:hAnsi="宋体" w:cs="Arial"/>
                <w:color w:val="auto"/>
                <w:sz w:val="21"/>
                <w:szCs w:val="21"/>
                <w:highlight w:val="none"/>
              </w:rPr>
              <w:t>医疗机构含酶抑制剂复合制剂抗菌药物使用情况统计</w:t>
            </w:r>
          </w:p>
          <w:p w14:paraId="084E8676">
            <w:pPr>
              <w:pStyle w:val="4"/>
              <w:pageBreakBefore w:val="0"/>
              <w:numPr>
                <w:ilvl w:val="0"/>
                <w:numId w:val="20"/>
              </w:numPr>
              <w:kinsoku/>
              <w:wordWrap/>
              <w:overflowPunct/>
              <w:topLinePunct w:val="0"/>
              <w:autoSpaceDE/>
              <w:autoSpaceDN/>
              <w:bidi w:val="0"/>
              <w:adjustRightInd w:val="0"/>
              <w:snapToGrid w:val="0"/>
              <w:spacing w:line="360" w:lineRule="auto"/>
              <w:textAlignment w:val="auto"/>
              <w:rPr>
                <w:rFonts w:ascii="宋体" w:hAnsi="宋体" w:cs="Arial"/>
                <w:color w:val="auto"/>
                <w:sz w:val="21"/>
                <w:szCs w:val="21"/>
                <w:highlight w:val="none"/>
              </w:rPr>
            </w:pPr>
            <w:r>
              <w:rPr>
                <w:rFonts w:hint="eastAsia" w:ascii="宋体" w:hAnsi="宋体" w:cs="Arial"/>
                <w:color w:val="auto"/>
                <w:sz w:val="21"/>
                <w:szCs w:val="21"/>
                <w:highlight w:val="none"/>
              </w:rPr>
              <w:t>抗菌药物临床应用管理评价指标及要求统计</w:t>
            </w:r>
          </w:p>
          <w:p w14:paraId="202FD68D">
            <w:pPr>
              <w:pStyle w:val="3"/>
              <w:pageBreakBefore w:val="0"/>
              <w:numPr>
                <w:ilvl w:val="0"/>
                <w:numId w:val="14"/>
              </w:numPr>
              <w:kinsoku/>
              <w:wordWrap/>
              <w:overflowPunct/>
              <w:topLinePunct w:val="0"/>
              <w:autoSpaceDE/>
              <w:autoSpaceDN/>
              <w:bidi w:val="0"/>
              <w:adjustRightInd w:val="0"/>
              <w:snapToGrid w:val="0"/>
              <w:spacing w:before="0" w:after="0" w:line="360" w:lineRule="auto"/>
              <w:textAlignment w:val="auto"/>
              <w:rPr>
                <w:rFonts w:ascii="宋体" w:hAnsi="宋体" w:cs="Arial"/>
                <w:b w:val="0"/>
                <w:color w:val="auto"/>
                <w:sz w:val="21"/>
                <w:szCs w:val="21"/>
                <w:highlight w:val="none"/>
              </w:rPr>
            </w:pPr>
            <w:r>
              <w:rPr>
                <w:rFonts w:hint="eastAsia" w:ascii="宋体" w:hAnsi="宋体" w:cs="Arial"/>
                <w:b w:val="0"/>
                <w:color w:val="auto"/>
                <w:sz w:val="21"/>
                <w:szCs w:val="21"/>
                <w:highlight w:val="none"/>
              </w:rPr>
              <w:t>国家卫生计生委抗菌药物临床应用管理数据上报</w:t>
            </w:r>
          </w:p>
          <w:p w14:paraId="52911B62">
            <w:pPr>
              <w:pStyle w:val="4"/>
              <w:pageBreakBefore w:val="0"/>
              <w:numPr>
                <w:ilvl w:val="0"/>
                <w:numId w:val="21"/>
              </w:numPr>
              <w:kinsoku/>
              <w:wordWrap/>
              <w:overflowPunct/>
              <w:topLinePunct w:val="0"/>
              <w:autoSpaceDE/>
              <w:autoSpaceDN/>
              <w:bidi w:val="0"/>
              <w:adjustRightInd w:val="0"/>
              <w:snapToGrid w:val="0"/>
              <w:spacing w:line="360" w:lineRule="auto"/>
              <w:textAlignment w:val="auto"/>
              <w:rPr>
                <w:rFonts w:ascii="宋体" w:hAnsi="宋体" w:cs="Arial"/>
                <w:color w:val="auto"/>
                <w:sz w:val="21"/>
                <w:szCs w:val="21"/>
                <w:highlight w:val="none"/>
              </w:rPr>
            </w:pPr>
            <w:r>
              <w:rPr>
                <w:rFonts w:hint="eastAsia" w:ascii="宋体" w:hAnsi="宋体" w:cs="Arial"/>
                <w:color w:val="auto"/>
                <w:sz w:val="21"/>
                <w:szCs w:val="21"/>
                <w:highlight w:val="none"/>
              </w:rPr>
              <w:t>医疗机构一般情况调查</w:t>
            </w:r>
          </w:p>
          <w:p w14:paraId="3B2F3E09">
            <w:pPr>
              <w:pStyle w:val="4"/>
              <w:pageBreakBefore w:val="0"/>
              <w:numPr>
                <w:ilvl w:val="0"/>
                <w:numId w:val="21"/>
              </w:numPr>
              <w:kinsoku/>
              <w:wordWrap/>
              <w:overflowPunct/>
              <w:topLinePunct w:val="0"/>
              <w:autoSpaceDE/>
              <w:autoSpaceDN/>
              <w:bidi w:val="0"/>
              <w:adjustRightInd w:val="0"/>
              <w:snapToGrid w:val="0"/>
              <w:spacing w:line="360" w:lineRule="auto"/>
              <w:textAlignment w:val="auto"/>
              <w:rPr>
                <w:rFonts w:ascii="宋体" w:hAnsi="宋体" w:cs="Arial"/>
                <w:color w:val="auto"/>
                <w:sz w:val="21"/>
                <w:szCs w:val="21"/>
                <w:highlight w:val="none"/>
              </w:rPr>
            </w:pPr>
            <w:r>
              <w:rPr>
                <w:rFonts w:hint="eastAsia" w:ascii="宋体" w:hAnsi="宋体" w:cs="Arial"/>
                <w:color w:val="auto"/>
                <w:sz w:val="21"/>
                <w:szCs w:val="21"/>
                <w:highlight w:val="none"/>
              </w:rPr>
              <w:t>临床科室指标持续改进情况统计表</w:t>
            </w:r>
          </w:p>
          <w:p w14:paraId="1D9C5371">
            <w:pPr>
              <w:pStyle w:val="4"/>
              <w:pageBreakBefore w:val="0"/>
              <w:numPr>
                <w:ilvl w:val="0"/>
                <w:numId w:val="21"/>
              </w:numPr>
              <w:kinsoku/>
              <w:wordWrap/>
              <w:overflowPunct/>
              <w:topLinePunct w:val="0"/>
              <w:autoSpaceDE/>
              <w:autoSpaceDN/>
              <w:bidi w:val="0"/>
              <w:adjustRightInd w:val="0"/>
              <w:snapToGrid w:val="0"/>
              <w:spacing w:line="360" w:lineRule="auto"/>
              <w:textAlignment w:val="auto"/>
              <w:rPr>
                <w:rFonts w:ascii="宋体" w:hAnsi="宋体" w:cs="Arial"/>
                <w:color w:val="auto"/>
                <w:sz w:val="21"/>
                <w:szCs w:val="21"/>
                <w:highlight w:val="none"/>
              </w:rPr>
            </w:pPr>
            <w:r>
              <w:rPr>
                <w:rFonts w:hint="eastAsia" w:ascii="宋体" w:hAnsi="宋体" w:cs="Arial"/>
                <w:color w:val="auto"/>
                <w:sz w:val="21"/>
                <w:szCs w:val="21"/>
                <w:highlight w:val="none"/>
              </w:rPr>
              <w:t>全院使用量排名前十位抗菌药物</w:t>
            </w:r>
          </w:p>
          <w:p w14:paraId="6F833171">
            <w:pPr>
              <w:pStyle w:val="4"/>
              <w:pageBreakBefore w:val="0"/>
              <w:numPr>
                <w:ilvl w:val="0"/>
                <w:numId w:val="21"/>
              </w:numPr>
              <w:kinsoku/>
              <w:wordWrap/>
              <w:overflowPunct/>
              <w:topLinePunct w:val="0"/>
              <w:autoSpaceDE/>
              <w:autoSpaceDN/>
              <w:bidi w:val="0"/>
              <w:adjustRightInd w:val="0"/>
              <w:snapToGrid w:val="0"/>
              <w:spacing w:line="360" w:lineRule="auto"/>
              <w:textAlignment w:val="auto"/>
              <w:rPr>
                <w:rFonts w:ascii="宋体" w:hAnsi="宋体" w:cs="Arial"/>
                <w:color w:val="auto"/>
                <w:sz w:val="21"/>
                <w:szCs w:val="21"/>
                <w:highlight w:val="none"/>
              </w:rPr>
            </w:pPr>
            <w:r>
              <w:rPr>
                <w:rFonts w:hint="eastAsia" w:ascii="宋体" w:hAnsi="宋体" w:cs="Arial"/>
                <w:color w:val="auto"/>
                <w:sz w:val="21"/>
                <w:szCs w:val="21"/>
                <w:highlight w:val="none"/>
              </w:rPr>
              <w:t>抗菌药物分级管理目录</w:t>
            </w:r>
          </w:p>
          <w:p w14:paraId="1345C48B">
            <w:pPr>
              <w:pStyle w:val="4"/>
              <w:pageBreakBefore w:val="0"/>
              <w:numPr>
                <w:ilvl w:val="0"/>
                <w:numId w:val="21"/>
              </w:numPr>
              <w:kinsoku/>
              <w:wordWrap/>
              <w:overflowPunct/>
              <w:topLinePunct w:val="0"/>
              <w:autoSpaceDE/>
              <w:autoSpaceDN/>
              <w:bidi w:val="0"/>
              <w:adjustRightInd w:val="0"/>
              <w:snapToGrid w:val="0"/>
              <w:spacing w:line="360" w:lineRule="auto"/>
              <w:textAlignment w:val="auto"/>
              <w:rPr>
                <w:rFonts w:ascii="宋体" w:hAnsi="宋体" w:cs="Arial"/>
                <w:color w:val="auto"/>
                <w:sz w:val="21"/>
                <w:szCs w:val="21"/>
                <w:highlight w:val="none"/>
              </w:rPr>
            </w:pPr>
            <w:r>
              <w:rPr>
                <w:rFonts w:hint="eastAsia" w:ascii="宋体" w:hAnsi="宋体" w:cs="Arial"/>
                <w:color w:val="auto"/>
                <w:sz w:val="21"/>
                <w:szCs w:val="21"/>
                <w:highlight w:val="none"/>
              </w:rPr>
              <w:t>临床微生物标本送检率</w:t>
            </w:r>
          </w:p>
          <w:p w14:paraId="31A3CB80">
            <w:pPr>
              <w:pStyle w:val="4"/>
              <w:pageBreakBefore w:val="0"/>
              <w:numPr>
                <w:ilvl w:val="0"/>
                <w:numId w:val="21"/>
              </w:numPr>
              <w:kinsoku/>
              <w:wordWrap/>
              <w:overflowPunct/>
              <w:topLinePunct w:val="0"/>
              <w:autoSpaceDE/>
              <w:autoSpaceDN/>
              <w:bidi w:val="0"/>
              <w:adjustRightInd w:val="0"/>
              <w:snapToGrid w:val="0"/>
              <w:spacing w:line="360" w:lineRule="auto"/>
              <w:textAlignment w:val="auto"/>
              <w:rPr>
                <w:rFonts w:ascii="宋体" w:hAnsi="宋体" w:cs="Arial"/>
                <w:color w:val="auto"/>
                <w:sz w:val="21"/>
                <w:szCs w:val="21"/>
                <w:highlight w:val="none"/>
              </w:rPr>
            </w:pPr>
            <w:r>
              <w:rPr>
                <w:rFonts w:hint="eastAsia" w:ascii="宋体" w:hAnsi="宋体" w:cs="Arial"/>
                <w:color w:val="auto"/>
                <w:sz w:val="21"/>
                <w:szCs w:val="21"/>
                <w:highlight w:val="none"/>
              </w:rPr>
              <w:t>医疗机构药品经费使用情况调查表</w:t>
            </w:r>
          </w:p>
          <w:p w14:paraId="7A7FF5CE">
            <w:pPr>
              <w:pStyle w:val="4"/>
              <w:pageBreakBefore w:val="0"/>
              <w:numPr>
                <w:ilvl w:val="0"/>
                <w:numId w:val="21"/>
              </w:numPr>
              <w:kinsoku/>
              <w:wordWrap/>
              <w:overflowPunct/>
              <w:topLinePunct w:val="0"/>
              <w:autoSpaceDE/>
              <w:autoSpaceDN/>
              <w:bidi w:val="0"/>
              <w:adjustRightInd w:val="0"/>
              <w:snapToGrid w:val="0"/>
              <w:spacing w:line="360" w:lineRule="auto"/>
              <w:textAlignment w:val="auto"/>
              <w:rPr>
                <w:rFonts w:ascii="宋体" w:hAnsi="宋体" w:cs="Arial"/>
                <w:color w:val="auto"/>
                <w:sz w:val="21"/>
                <w:szCs w:val="21"/>
                <w:highlight w:val="none"/>
              </w:rPr>
            </w:pPr>
            <w:r>
              <w:rPr>
                <w:rFonts w:hint="eastAsia" w:ascii="宋体" w:hAnsi="宋体" w:cs="Arial"/>
                <w:color w:val="auto"/>
                <w:sz w:val="21"/>
                <w:szCs w:val="21"/>
                <w:highlight w:val="none"/>
              </w:rPr>
              <w:t>医疗机构抗菌药物品种、规格和使用量统计调查表</w:t>
            </w:r>
          </w:p>
          <w:p w14:paraId="20960EE5">
            <w:pPr>
              <w:pStyle w:val="4"/>
              <w:pageBreakBefore w:val="0"/>
              <w:numPr>
                <w:ilvl w:val="0"/>
                <w:numId w:val="21"/>
              </w:numPr>
              <w:kinsoku/>
              <w:wordWrap/>
              <w:overflowPunct/>
              <w:topLinePunct w:val="0"/>
              <w:autoSpaceDE/>
              <w:autoSpaceDN/>
              <w:bidi w:val="0"/>
              <w:adjustRightInd w:val="0"/>
              <w:snapToGrid w:val="0"/>
              <w:spacing w:line="360" w:lineRule="auto"/>
              <w:textAlignment w:val="auto"/>
              <w:rPr>
                <w:rFonts w:ascii="宋体" w:hAnsi="宋体" w:cs="Arial"/>
                <w:color w:val="auto"/>
                <w:sz w:val="21"/>
                <w:szCs w:val="21"/>
                <w:highlight w:val="none"/>
              </w:rPr>
            </w:pPr>
            <w:r>
              <w:rPr>
                <w:rFonts w:hint="eastAsia" w:ascii="宋体" w:hAnsi="宋体" w:cs="Arial"/>
                <w:color w:val="auto"/>
                <w:sz w:val="21"/>
                <w:szCs w:val="21"/>
                <w:highlight w:val="none"/>
              </w:rPr>
              <w:t>医疗机构抗菌药物临床应用指标数据上报表</w:t>
            </w:r>
          </w:p>
          <w:p w14:paraId="012237AF">
            <w:pPr>
              <w:pStyle w:val="4"/>
              <w:pageBreakBefore w:val="0"/>
              <w:numPr>
                <w:ilvl w:val="0"/>
                <w:numId w:val="21"/>
              </w:numPr>
              <w:kinsoku/>
              <w:wordWrap/>
              <w:overflowPunct/>
              <w:topLinePunct w:val="0"/>
              <w:autoSpaceDE/>
              <w:autoSpaceDN/>
              <w:bidi w:val="0"/>
              <w:adjustRightInd w:val="0"/>
              <w:snapToGrid w:val="0"/>
              <w:spacing w:line="360" w:lineRule="auto"/>
              <w:textAlignment w:val="auto"/>
              <w:rPr>
                <w:rFonts w:ascii="宋体" w:hAnsi="宋体" w:cs="Arial"/>
                <w:color w:val="auto"/>
                <w:sz w:val="21"/>
                <w:szCs w:val="21"/>
                <w:highlight w:val="none"/>
              </w:rPr>
            </w:pPr>
            <w:r>
              <w:rPr>
                <w:rFonts w:hint="eastAsia" w:ascii="宋体" w:hAnsi="宋体" w:cs="Arial"/>
                <w:color w:val="auto"/>
                <w:sz w:val="21"/>
                <w:szCs w:val="21"/>
                <w:highlight w:val="none"/>
              </w:rPr>
              <w:t>医疗机构</w:t>
            </w:r>
            <w:r>
              <w:rPr>
                <w:rFonts w:ascii="宋体" w:hAnsi="宋体" w:cs="Arial"/>
                <w:color w:val="auto"/>
                <w:sz w:val="21"/>
                <w:szCs w:val="21"/>
                <w:highlight w:val="none"/>
              </w:rPr>
              <w:t>I类切口手术用药情况清单表</w:t>
            </w:r>
          </w:p>
          <w:p w14:paraId="0DD438DA">
            <w:pPr>
              <w:pStyle w:val="4"/>
              <w:pageBreakBefore w:val="0"/>
              <w:numPr>
                <w:ilvl w:val="0"/>
                <w:numId w:val="21"/>
              </w:numPr>
              <w:kinsoku/>
              <w:wordWrap/>
              <w:overflowPunct/>
              <w:topLinePunct w:val="0"/>
              <w:autoSpaceDE/>
              <w:autoSpaceDN/>
              <w:bidi w:val="0"/>
              <w:adjustRightInd w:val="0"/>
              <w:snapToGrid w:val="0"/>
              <w:spacing w:line="360" w:lineRule="auto"/>
              <w:textAlignment w:val="auto"/>
              <w:rPr>
                <w:rFonts w:ascii="宋体" w:hAnsi="宋体" w:cs="Arial"/>
                <w:color w:val="auto"/>
                <w:sz w:val="21"/>
                <w:szCs w:val="21"/>
                <w:highlight w:val="none"/>
              </w:rPr>
            </w:pPr>
            <w:r>
              <w:rPr>
                <w:rFonts w:hint="eastAsia" w:ascii="宋体" w:hAnsi="宋体" w:cs="Arial"/>
                <w:color w:val="auto"/>
                <w:sz w:val="21"/>
                <w:szCs w:val="21"/>
                <w:highlight w:val="none"/>
              </w:rPr>
              <w:t>医疗机构</w:t>
            </w:r>
            <w:r>
              <w:rPr>
                <w:rFonts w:ascii="宋体" w:hAnsi="宋体" w:cs="Arial"/>
                <w:color w:val="auto"/>
                <w:sz w:val="21"/>
                <w:szCs w:val="21"/>
                <w:highlight w:val="none"/>
              </w:rPr>
              <w:t>I类切口手术用药情况调查表</w:t>
            </w:r>
          </w:p>
          <w:p w14:paraId="22313CF0">
            <w:pPr>
              <w:pStyle w:val="3"/>
              <w:pageBreakBefore w:val="0"/>
              <w:numPr>
                <w:ilvl w:val="0"/>
                <w:numId w:val="14"/>
              </w:numPr>
              <w:kinsoku/>
              <w:wordWrap/>
              <w:overflowPunct/>
              <w:topLinePunct w:val="0"/>
              <w:autoSpaceDE/>
              <w:autoSpaceDN/>
              <w:bidi w:val="0"/>
              <w:adjustRightInd w:val="0"/>
              <w:snapToGrid w:val="0"/>
              <w:spacing w:before="0" w:after="0" w:line="360" w:lineRule="auto"/>
              <w:textAlignment w:val="auto"/>
              <w:rPr>
                <w:rFonts w:ascii="宋体" w:hAnsi="宋体" w:cs="Arial"/>
                <w:b w:val="0"/>
                <w:color w:val="auto"/>
                <w:sz w:val="21"/>
                <w:szCs w:val="21"/>
                <w:highlight w:val="none"/>
              </w:rPr>
            </w:pPr>
            <w:r>
              <w:rPr>
                <w:rFonts w:hint="eastAsia" w:ascii="宋体" w:hAnsi="宋体" w:cs="Arial"/>
                <w:b w:val="0"/>
                <w:color w:val="auto"/>
                <w:sz w:val="21"/>
                <w:szCs w:val="21"/>
                <w:highlight w:val="none"/>
              </w:rPr>
              <w:t>全国合理用药监测系统</w:t>
            </w:r>
          </w:p>
          <w:p w14:paraId="7F64BF47">
            <w:pPr>
              <w:pStyle w:val="4"/>
              <w:pageBreakBefore w:val="0"/>
              <w:numPr>
                <w:ilvl w:val="0"/>
                <w:numId w:val="22"/>
              </w:numPr>
              <w:kinsoku/>
              <w:wordWrap/>
              <w:overflowPunct/>
              <w:topLinePunct w:val="0"/>
              <w:autoSpaceDE/>
              <w:autoSpaceDN/>
              <w:bidi w:val="0"/>
              <w:adjustRightInd w:val="0"/>
              <w:snapToGrid w:val="0"/>
              <w:spacing w:line="360" w:lineRule="auto"/>
              <w:textAlignment w:val="auto"/>
              <w:rPr>
                <w:rFonts w:ascii="宋体" w:hAnsi="宋体" w:cs="Arial"/>
                <w:color w:val="auto"/>
                <w:sz w:val="21"/>
                <w:szCs w:val="21"/>
                <w:highlight w:val="none"/>
              </w:rPr>
            </w:pPr>
            <w:r>
              <w:rPr>
                <w:rFonts w:hint="eastAsia" w:ascii="宋体" w:hAnsi="宋体" w:cs="Arial"/>
                <w:color w:val="auto"/>
                <w:sz w:val="21"/>
                <w:szCs w:val="21"/>
                <w:highlight w:val="none"/>
              </w:rPr>
              <w:t>药物临床应用监测信息（西药、中成药）</w:t>
            </w:r>
          </w:p>
          <w:p w14:paraId="75B5C13A">
            <w:pPr>
              <w:pStyle w:val="4"/>
              <w:pageBreakBefore w:val="0"/>
              <w:numPr>
                <w:ilvl w:val="0"/>
                <w:numId w:val="22"/>
              </w:numPr>
              <w:kinsoku/>
              <w:wordWrap/>
              <w:overflowPunct/>
              <w:topLinePunct w:val="0"/>
              <w:autoSpaceDE/>
              <w:autoSpaceDN/>
              <w:bidi w:val="0"/>
              <w:adjustRightInd w:val="0"/>
              <w:snapToGrid w:val="0"/>
              <w:spacing w:line="360" w:lineRule="auto"/>
              <w:textAlignment w:val="auto"/>
              <w:rPr>
                <w:rFonts w:ascii="宋体" w:hAnsi="宋体" w:cs="Arial"/>
                <w:color w:val="auto"/>
                <w:sz w:val="21"/>
                <w:szCs w:val="21"/>
                <w:highlight w:val="none"/>
              </w:rPr>
            </w:pPr>
            <w:r>
              <w:rPr>
                <w:rFonts w:hint="eastAsia" w:ascii="宋体" w:hAnsi="宋体" w:cs="Arial"/>
                <w:color w:val="auto"/>
                <w:sz w:val="21"/>
                <w:szCs w:val="21"/>
                <w:highlight w:val="none"/>
              </w:rPr>
              <w:t>处方监测信息（门、急诊处方）</w:t>
            </w:r>
          </w:p>
          <w:p w14:paraId="3FA8579C">
            <w:pPr>
              <w:pStyle w:val="4"/>
              <w:pageBreakBefore w:val="0"/>
              <w:numPr>
                <w:ilvl w:val="0"/>
                <w:numId w:val="22"/>
              </w:numPr>
              <w:kinsoku/>
              <w:wordWrap/>
              <w:overflowPunct/>
              <w:topLinePunct w:val="0"/>
              <w:autoSpaceDE/>
              <w:autoSpaceDN/>
              <w:bidi w:val="0"/>
              <w:adjustRightInd w:val="0"/>
              <w:snapToGrid w:val="0"/>
              <w:spacing w:line="360" w:lineRule="auto"/>
              <w:textAlignment w:val="auto"/>
              <w:rPr>
                <w:rFonts w:ascii="宋体" w:hAnsi="宋体" w:cs="Arial"/>
                <w:color w:val="auto"/>
                <w:sz w:val="21"/>
                <w:szCs w:val="21"/>
                <w:highlight w:val="none"/>
              </w:rPr>
            </w:pPr>
            <w:r>
              <w:rPr>
                <w:rFonts w:hint="eastAsia" w:ascii="宋体" w:hAnsi="宋体" w:cs="Arial"/>
                <w:color w:val="auto"/>
                <w:sz w:val="21"/>
                <w:szCs w:val="21"/>
                <w:highlight w:val="none"/>
              </w:rPr>
              <w:t>处方监测信息（医嘱）</w:t>
            </w:r>
          </w:p>
          <w:p w14:paraId="569DC415">
            <w:pPr>
              <w:pStyle w:val="3"/>
              <w:pageBreakBefore w:val="0"/>
              <w:numPr>
                <w:ilvl w:val="0"/>
                <w:numId w:val="14"/>
              </w:numPr>
              <w:kinsoku/>
              <w:wordWrap/>
              <w:overflowPunct/>
              <w:topLinePunct w:val="0"/>
              <w:autoSpaceDE/>
              <w:autoSpaceDN/>
              <w:bidi w:val="0"/>
              <w:adjustRightInd w:val="0"/>
              <w:snapToGrid w:val="0"/>
              <w:spacing w:before="0" w:after="0" w:line="360" w:lineRule="auto"/>
              <w:textAlignment w:val="auto"/>
              <w:rPr>
                <w:rFonts w:ascii="宋体" w:hAnsi="宋体" w:cs="Arial"/>
                <w:b w:val="0"/>
                <w:color w:val="auto"/>
                <w:sz w:val="21"/>
                <w:szCs w:val="21"/>
                <w:highlight w:val="none"/>
              </w:rPr>
            </w:pPr>
            <w:r>
              <w:rPr>
                <w:rFonts w:hint="eastAsia" w:ascii="宋体" w:hAnsi="宋体" w:cs="Arial"/>
                <w:b w:val="0"/>
                <w:color w:val="auto"/>
                <w:sz w:val="21"/>
                <w:szCs w:val="21"/>
                <w:highlight w:val="none"/>
              </w:rPr>
              <w:t>抗肿瘤药物临床应用情况调查表</w:t>
            </w:r>
          </w:p>
          <w:p w14:paraId="1C1482E6">
            <w:pPr>
              <w:pStyle w:val="3"/>
              <w:pageBreakBefore w:val="0"/>
              <w:numPr>
                <w:ilvl w:val="0"/>
                <w:numId w:val="14"/>
              </w:numPr>
              <w:kinsoku/>
              <w:wordWrap/>
              <w:overflowPunct/>
              <w:topLinePunct w:val="0"/>
              <w:autoSpaceDE/>
              <w:autoSpaceDN/>
              <w:bidi w:val="0"/>
              <w:adjustRightInd w:val="0"/>
              <w:snapToGrid w:val="0"/>
              <w:spacing w:before="0" w:after="0" w:line="360" w:lineRule="auto"/>
              <w:textAlignment w:val="auto"/>
              <w:rPr>
                <w:rFonts w:ascii="宋体" w:hAnsi="宋体" w:cs="Arial"/>
                <w:color w:val="auto"/>
                <w:sz w:val="21"/>
                <w:szCs w:val="21"/>
                <w:highlight w:val="none"/>
              </w:rPr>
            </w:pPr>
            <w:r>
              <w:rPr>
                <w:rFonts w:hint="eastAsia" w:ascii="宋体" w:hAnsi="宋体" w:cs="Arial"/>
                <w:b w:val="0"/>
                <w:color w:val="auto"/>
                <w:sz w:val="21"/>
                <w:szCs w:val="21"/>
                <w:highlight w:val="none"/>
              </w:rPr>
              <w:t>住院患者静脉输液使用情况抽样</w:t>
            </w:r>
          </w:p>
        </w:tc>
      </w:tr>
      <w:tr w14:paraId="7CE0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3F77A2FD">
            <w:pPr>
              <w:pStyle w:val="13"/>
              <w:pageBreakBefore w:val="0"/>
              <w:numPr>
                <w:ilvl w:val="0"/>
                <w:numId w:val="13"/>
              </w:numPr>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p>
        </w:tc>
        <w:tc>
          <w:tcPr>
            <w:tcW w:w="1286" w:type="dxa"/>
            <w:vAlign w:val="center"/>
          </w:tcPr>
          <w:p w14:paraId="595A84FB">
            <w:pPr>
              <w:pageBreakBefore w:val="0"/>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区域用药数据分析</w:t>
            </w:r>
          </w:p>
        </w:tc>
        <w:tc>
          <w:tcPr>
            <w:tcW w:w="6276" w:type="dxa"/>
            <w:vAlign w:val="center"/>
          </w:tcPr>
          <w:p w14:paraId="7935E863">
            <w:pPr>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s="Arial"/>
                <w:color w:val="auto"/>
                <w:sz w:val="21"/>
                <w:szCs w:val="21"/>
                <w:highlight w:val="none"/>
              </w:rPr>
            </w:pPr>
            <w:r>
              <w:rPr>
                <w:rFonts w:hint="eastAsia" w:ascii="宋体" w:hAnsi="宋体" w:eastAsia="宋体" w:cs="Arial"/>
                <w:color w:val="auto"/>
                <w:sz w:val="21"/>
                <w:szCs w:val="21"/>
                <w:highlight w:val="none"/>
              </w:rPr>
              <w:t>系统应根据《三级综合医院评审标准实施细则》、《药事管理专业医疗质量控制指标》、《抗菌药物临床应用管理评价指标及要求》等相关规定的要求，并通过接口从HIS系统提取药品、费用等相关信息，在此基础上实现对全区域或单个医疗机构合理用药指标及药品使用情况的信息化统计和分析。</w:t>
            </w:r>
          </w:p>
        </w:tc>
      </w:tr>
      <w:tr w14:paraId="414C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3" w:hRule="atLeast"/>
          <w:jc w:val="center"/>
        </w:trPr>
        <w:tc>
          <w:tcPr>
            <w:tcW w:w="655" w:type="dxa"/>
            <w:vAlign w:val="center"/>
          </w:tcPr>
          <w:p w14:paraId="6A341BD8">
            <w:pPr>
              <w:pStyle w:val="13"/>
              <w:pageBreakBefore w:val="0"/>
              <w:numPr>
                <w:ilvl w:val="0"/>
                <w:numId w:val="13"/>
              </w:numPr>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p>
        </w:tc>
        <w:tc>
          <w:tcPr>
            <w:tcW w:w="1286" w:type="dxa"/>
            <w:vAlign w:val="center"/>
          </w:tcPr>
          <w:p w14:paraId="0760F542">
            <w:pPr>
              <w:pageBreakBefore w:val="0"/>
              <w:kinsoku/>
              <w:wordWrap/>
              <w:overflowPunct/>
              <w:topLinePunct w:val="0"/>
              <w:autoSpaceDE/>
              <w:autoSpaceDN/>
              <w:bidi w:val="0"/>
              <w:adjustRightInd w:val="0"/>
              <w:snapToGrid w:val="0"/>
              <w:spacing w:line="360" w:lineRule="auto"/>
              <w:textAlignment w:val="auto"/>
              <w:rPr>
                <w:rFonts w:hint="default" w:ascii="宋体" w:hAnsi="宋体" w:eastAsia="宋体" w:cs="Arial"/>
                <w:bCs/>
                <w:kern w:val="2"/>
                <w:sz w:val="21"/>
                <w:szCs w:val="21"/>
                <w:lang w:val="en-US" w:eastAsia="zh-CN" w:bidi="ar-SA"/>
              </w:rPr>
            </w:pPr>
            <w:r>
              <w:rPr>
                <w:rFonts w:hint="eastAsia" w:ascii="宋体" w:hAnsi="宋体" w:eastAsia="宋体" w:cs="Arial"/>
                <w:bCs/>
                <w:kern w:val="2"/>
                <w:sz w:val="21"/>
                <w:szCs w:val="21"/>
                <w:lang w:val="en-US" w:eastAsia="zh-CN" w:bidi="ar-SA"/>
              </w:rPr>
              <w:t>数据监控中心</w:t>
            </w:r>
          </w:p>
        </w:tc>
        <w:tc>
          <w:tcPr>
            <w:tcW w:w="6276" w:type="dxa"/>
            <w:vAlign w:val="center"/>
          </w:tcPr>
          <w:p w14:paraId="09DB3FAB">
            <w:pPr>
              <w:pStyle w:val="3"/>
              <w:keepNext w:val="0"/>
              <w:keepLines w:val="0"/>
              <w:pageBreakBefore w:val="0"/>
              <w:kinsoku/>
              <w:wordWrap/>
              <w:overflowPunct/>
              <w:topLinePunct w:val="0"/>
              <w:autoSpaceDE/>
              <w:autoSpaceDN/>
              <w:bidi w:val="0"/>
              <w:adjustRightInd w:val="0"/>
              <w:snapToGrid w:val="0"/>
              <w:spacing w:before="0" w:after="0" w:line="360" w:lineRule="auto"/>
              <w:textAlignment w:val="auto"/>
              <w:rPr>
                <w:rFonts w:hint="eastAsia" w:ascii="宋体" w:hAnsi="宋体" w:eastAsia="宋体" w:cs="Arial"/>
                <w:b w:val="0"/>
                <w:bCs w:val="0"/>
                <w:color w:val="auto"/>
                <w:sz w:val="21"/>
                <w:szCs w:val="21"/>
                <w:highlight w:val="none"/>
                <w:lang w:eastAsia="zh-CN"/>
              </w:rPr>
            </w:pPr>
            <w:r>
              <w:rPr>
                <w:rFonts w:hint="eastAsia" w:ascii="宋体" w:hAnsi="宋体" w:cs="Arial"/>
                <w:b w:val="0"/>
                <w:bCs w:val="0"/>
                <w:color w:val="auto"/>
                <w:sz w:val="21"/>
                <w:szCs w:val="21"/>
                <w:highlight w:val="none"/>
                <w:lang w:val="en-US" w:eastAsia="zh-CN"/>
              </w:rPr>
              <w:t>3.1</w:t>
            </w:r>
            <w:r>
              <w:rPr>
                <w:rFonts w:ascii="宋体" w:hAnsi="宋体" w:cs="Arial"/>
                <w:b w:val="0"/>
                <w:bCs w:val="0"/>
                <w:color w:val="auto"/>
                <w:sz w:val="21"/>
                <w:szCs w:val="21"/>
                <w:highlight w:val="none"/>
              </w:rPr>
              <w:t>系统应能</w:t>
            </w:r>
            <w:r>
              <w:rPr>
                <w:rFonts w:hint="eastAsia" w:ascii="宋体" w:hAnsi="宋体" w:cs="Arial"/>
                <w:b w:val="0"/>
                <w:bCs w:val="0"/>
                <w:color w:val="auto"/>
                <w:sz w:val="21"/>
                <w:szCs w:val="21"/>
                <w:highlight w:val="none"/>
              </w:rPr>
              <w:t>监控区域门诊处方数，应能监控各医疗机构系统审查问题和问题处方排名</w:t>
            </w:r>
            <w:r>
              <w:rPr>
                <w:rFonts w:hint="eastAsia" w:ascii="宋体" w:hAnsi="宋体" w:cs="Arial"/>
                <w:b w:val="0"/>
                <w:bCs w:val="0"/>
                <w:color w:val="auto"/>
                <w:sz w:val="21"/>
                <w:szCs w:val="21"/>
                <w:highlight w:val="none"/>
                <w:lang w:eastAsia="zh-CN"/>
              </w:rPr>
              <w:t>。</w:t>
            </w:r>
          </w:p>
          <w:p w14:paraId="3DFD80AB">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Arial"/>
                <w:color w:val="auto"/>
                <w:sz w:val="21"/>
                <w:szCs w:val="21"/>
                <w:highlight w:val="none"/>
                <w:lang w:eastAsia="zh-CN"/>
              </w:rPr>
            </w:pPr>
            <w:r>
              <w:rPr>
                <w:rFonts w:hint="eastAsia" w:ascii="宋体" w:hAnsi="宋体" w:eastAsia="宋体"/>
                <w:color w:val="auto"/>
                <w:sz w:val="21"/>
                <w:szCs w:val="21"/>
                <w:highlight w:val="none"/>
                <w:lang w:val="en-US" w:eastAsia="zh-CN"/>
              </w:rPr>
              <w:t>3.2</w:t>
            </w:r>
            <w:r>
              <w:rPr>
                <w:rFonts w:ascii="宋体" w:hAnsi="宋体" w:eastAsia="宋体"/>
                <w:color w:val="auto"/>
                <w:sz w:val="21"/>
                <w:szCs w:val="21"/>
                <w:highlight w:val="none"/>
              </w:rPr>
              <w:t>系统应能监控区域、各医疗机构处方审核干预情况，应能追踪干预效果，实现当日动态监测</w:t>
            </w:r>
            <w:r>
              <w:rPr>
                <w:rFonts w:hint="eastAsia" w:ascii="宋体" w:hAnsi="宋体" w:eastAsia="宋体"/>
                <w:color w:val="auto"/>
                <w:sz w:val="21"/>
                <w:szCs w:val="21"/>
                <w:highlight w:val="none"/>
                <w:lang w:eastAsia="zh-CN"/>
              </w:rPr>
              <w:t>。</w:t>
            </w:r>
          </w:p>
          <w:p w14:paraId="18AE6492">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Arial"/>
                <w:color w:val="auto"/>
                <w:sz w:val="21"/>
                <w:szCs w:val="21"/>
                <w:highlight w:val="none"/>
                <w:lang w:eastAsia="zh-CN"/>
              </w:rPr>
            </w:pPr>
            <w:r>
              <w:rPr>
                <w:rFonts w:hint="eastAsia" w:ascii="宋体" w:hAnsi="宋体" w:eastAsia="宋体"/>
                <w:color w:val="auto"/>
                <w:sz w:val="21"/>
                <w:szCs w:val="21"/>
                <w:highlight w:val="none"/>
                <w:lang w:val="en-US" w:eastAsia="zh-CN"/>
              </w:rPr>
              <w:t>3.3</w:t>
            </w:r>
            <w:r>
              <w:rPr>
                <w:rFonts w:ascii="宋体" w:hAnsi="宋体" w:eastAsia="宋体"/>
                <w:color w:val="auto"/>
                <w:sz w:val="21"/>
                <w:szCs w:val="21"/>
                <w:highlight w:val="none"/>
              </w:rPr>
              <w:t>系统应能监控各医疗机构门诊、急诊、出院点评率</w:t>
            </w:r>
            <w:r>
              <w:rPr>
                <w:rFonts w:hint="eastAsia" w:ascii="宋体" w:hAnsi="宋体" w:eastAsia="宋体"/>
                <w:color w:val="auto"/>
                <w:sz w:val="21"/>
                <w:szCs w:val="21"/>
                <w:highlight w:val="none"/>
              </w:rPr>
              <w:t>与</w:t>
            </w:r>
            <w:r>
              <w:rPr>
                <w:rFonts w:ascii="宋体" w:hAnsi="宋体" w:eastAsia="宋体"/>
                <w:color w:val="auto"/>
                <w:sz w:val="21"/>
                <w:szCs w:val="21"/>
                <w:highlight w:val="none"/>
              </w:rPr>
              <w:t>合格率</w:t>
            </w:r>
            <w:r>
              <w:rPr>
                <w:rFonts w:hint="eastAsia" w:ascii="宋体" w:hAnsi="宋体" w:eastAsia="宋体"/>
                <w:color w:val="auto"/>
                <w:sz w:val="21"/>
                <w:szCs w:val="21"/>
                <w:highlight w:val="none"/>
                <w:lang w:eastAsia="zh-CN"/>
              </w:rPr>
              <w:t>。</w:t>
            </w:r>
          </w:p>
          <w:p w14:paraId="39D46961">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Arial"/>
                <w:color w:val="auto"/>
                <w:sz w:val="21"/>
                <w:szCs w:val="21"/>
                <w:highlight w:val="none"/>
                <w:lang w:eastAsia="zh-CN"/>
              </w:rPr>
            </w:pPr>
            <w:r>
              <w:rPr>
                <w:rFonts w:hint="eastAsia" w:ascii="宋体" w:hAnsi="宋体" w:eastAsia="宋体"/>
                <w:color w:val="auto"/>
                <w:sz w:val="21"/>
                <w:szCs w:val="21"/>
                <w:highlight w:val="none"/>
                <w:lang w:val="en-US" w:eastAsia="zh-CN"/>
              </w:rPr>
              <w:t>3.4</w:t>
            </w:r>
            <w:r>
              <w:rPr>
                <w:rFonts w:ascii="宋体" w:hAnsi="宋体" w:eastAsia="宋体"/>
                <w:color w:val="auto"/>
                <w:sz w:val="21"/>
                <w:szCs w:val="21"/>
                <w:highlight w:val="none"/>
              </w:rPr>
              <w:t>系统应能监控各医疗机构用药指标，包括但不限于抗菌药物使用率、抗菌药物使用强度、</w:t>
            </w:r>
            <w:r>
              <w:rPr>
                <w:rFonts w:hint="eastAsia" w:ascii="宋体" w:hAnsi="宋体" w:eastAsia="宋体"/>
                <w:color w:val="auto"/>
                <w:sz w:val="21"/>
                <w:szCs w:val="21"/>
                <w:highlight w:val="none"/>
              </w:rPr>
              <w:t>Ⅰ类切口手术抗菌药物预防使用率、特殊使用级抗菌药物使用量占比、微生物送检率、基本药物处方占比、基本药物使用率、基本药物使用占比、国家基本药物配备使用金额比例、中药饮片使用率、门诊中药处方比例、门诊散装中药饮片和小包装中药饮片处方比例</w:t>
            </w:r>
            <w:r>
              <w:rPr>
                <w:rFonts w:hint="eastAsia" w:ascii="宋体" w:hAnsi="宋体" w:eastAsia="宋体"/>
                <w:color w:val="auto"/>
                <w:sz w:val="21"/>
                <w:szCs w:val="21"/>
                <w:highlight w:val="none"/>
                <w:lang w:eastAsia="zh-CN"/>
              </w:rPr>
              <w:t>。</w:t>
            </w:r>
          </w:p>
        </w:tc>
      </w:tr>
      <w:tr w14:paraId="5112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7FE5D16E">
            <w:pPr>
              <w:pStyle w:val="13"/>
              <w:pageBreakBefore w:val="0"/>
              <w:numPr>
                <w:ilvl w:val="0"/>
                <w:numId w:val="13"/>
              </w:numPr>
              <w:kinsoku/>
              <w:wordWrap/>
              <w:overflowPunct/>
              <w:topLinePunct w:val="0"/>
              <w:autoSpaceDE/>
              <w:autoSpaceDN/>
              <w:bidi w:val="0"/>
              <w:adjustRightInd w:val="0"/>
              <w:snapToGrid w:val="0"/>
              <w:spacing w:line="360" w:lineRule="auto"/>
              <w:textAlignment w:val="auto"/>
              <w:rPr>
                <w:rFonts w:ascii="宋体" w:hAnsi="宋体" w:eastAsia="宋体"/>
                <w:color w:val="auto"/>
                <w:sz w:val="21"/>
                <w:szCs w:val="21"/>
                <w:highlight w:val="none"/>
              </w:rPr>
            </w:pPr>
          </w:p>
        </w:tc>
        <w:tc>
          <w:tcPr>
            <w:tcW w:w="1286" w:type="dxa"/>
            <w:vAlign w:val="center"/>
          </w:tcPr>
          <w:p w14:paraId="0AB6AF60">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Arial"/>
                <w:bCs/>
                <w:kern w:val="2"/>
                <w:sz w:val="21"/>
                <w:szCs w:val="21"/>
                <w:lang w:val="en-US" w:eastAsia="zh-CN" w:bidi="ar-SA"/>
              </w:rPr>
            </w:pPr>
            <w:r>
              <w:rPr>
                <w:rFonts w:ascii="宋体" w:hAnsi="宋体" w:eastAsia="宋体"/>
                <w:color w:val="auto"/>
                <w:sz w:val="21"/>
                <w:szCs w:val="21"/>
                <w:highlight w:val="none"/>
              </w:rPr>
              <w:t>可视化大屏</w:t>
            </w:r>
          </w:p>
        </w:tc>
        <w:tc>
          <w:tcPr>
            <w:tcW w:w="6276" w:type="dxa"/>
            <w:vAlign w:val="center"/>
          </w:tcPr>
          <w:p w14:paraId="7E3E6A90">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Arial"/>
                <w:color w:val="auto"/>
                <w:sz w:val="21"/>
                <w:szCs w:val="21"/>
                <w:highlight w:val="none"/>
              </w:rPr>
            </w:pPr>
            <w:r>
              <w:rPr>
                <w:rFonts w:ascii="宋体" w:hAnsi="宋体" w:eastAsia="宋体"/>
                <w:color w:val="auto"/>
                <w:sz w:val="21"/>
                <w:szCs w:val="21"/>
                <w:highlight w:val="none"/>
              </w:rPr>
              <w:t>系统应支持</w:t>
            </w:r>
            <w:r>
              <w:rPr>
                <w:rFonts w:hint="eastAsia" w:ascii="宋体" w:hAnsi="宋体" w:eastAsia="宋体"/>
                <w:color w:val="auto"/>
                <w:sz w:val="21"/>
                <w:szCs w:val="21"/>
                <w:highlight w:val="none"/>
              </w:rPr>
              <w:t>可视化大屏展示</w:t>
            </w:r>
            <w:r>
              <w:rPr>
                <w:rFonts w:ascii="宋体" w:hAnsi="宋体" w:eastAsia="宋体"/>
                <w:color w:val="auto"/>
                <w:sz w:val="21"/>
                <w:szCs w:val="21"/>
                <w:highlight w:val="none"/>
              </w:rPr>
              <w:t xml:space="preserve"> </w:t>
            </w:r>
          </w:p>
        </w:tc>
      </w:tr>
      <w:tr w14:paraId="7579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7" w:type="dxa"/>
            <w:gridSpan w:val="3"/>
            <w:vAlign w:val="top"/>
          </w:tcPr>
          <w:p w14:paraId="12CAD1E9">
            <w:pPr>
              <w:pStyle w:val="13"/>
              <w:pageBreakBefore w:val="0"/>
              <w:numPr>
                <w:ilvl w:val="0"/>
                <w:numId w:val="3"/>
              </w:numPr>
              <w:kinsoku/>
              <w:wordWrap/>
              <w:overflowPunct/>
              <w:topLinePunct w:val="0"/>
              <w:autoSpaceDE/>
              <w:autoSpaceDN/>
              <w:bidi w:val="0"/>
              <w:adjustRightInd w:val="0"/>
              <w:snapToGrid w:val="0"/>
              <w:spacing w:line="360" w:lineRule="auto"/>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药物信息查询功能要求</w:t>
            </w:r>
          </w:p>
        </w:tc>
      </w:tr>
      <w:tr w14:paraId="06FF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31D6D51C">
            <w:pPr>
              <w:pStyle w:val="13"/>
              <w:pageBreakBefore w:val="0"/>
              <w:widowControl/>
              <w:numPr>
                <w:ilvl w:val="0"/>
                <w:numId w:val="23"/>
              </w:numPr>
              <w:kinsoku/>
              <w:wordWrap/>
              <w:overflowPunct/>
              <w:topLinePunct w:val="0"/>
              <w:autoSpaceDE/>
              <w:autoSpaceDN/>
              <w:bidi w:val="0"/>
              <w:adjustRightInd w:val="0"/>
              <w:snapToGrid w:val="0"/>
              <w:spacing w:line="360" w:lineRule="auto"/>
              <w:jc w:val="center"/>
              <w:textAlignment w:val="auto"/>
              <w:rPr>
                <w:rFonts w:ascii="宋体" w:hAnsi="宋体" w:eastAsia="宋体" w:cs="宋体"/>
                <w:bCs/>
                <w:color w:val="auto"/>
                <w:sz w:val="21"/>
                <w:szCs w:val="21"/>
                <w:highlight w:val="none"/>
              </w:rPr>
            </w:pPr>
          </w:p>
        </w:tc>
        <w:tc>
          <w:tcPr>
            <w:tcW w:w="1286" w:type="dxa"/>
            <w:vAlign w:val="center"/>
          </w:tcPr>
          <w:p w14:paraId="01081484">
            <w:pPr>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药物信息参考</w:t>
            </w:r>
          </w:p>
        </w:tc>
        <w:tc>
          <w:tcPr>
            <w:tcW w:w="6276" w:type="dxa"/>
            <w:vAlign w:val="center"/>
          </w:tcPr>
          <w:p w14:paraId="3418A8CC">
            <w:pPr>
              <w:pStyle w:val="13"/>
              <w:pageBreakBefore w:val="0"/>
              <w:numPr>
                <w:ilvl w:val="0"/>
                <w:numId w:val="24"/>
              </w:numPr>
              <w:tabs>
                <w:tab w:val="left" w:pos="0"/>
              </w:tabs>
              <w:kinsoku/>
              <w:wordWrap/>
              <w:overflowPunct/>
              <w:topLinePunct w:val="0"/>
              <w:autoSpaceDE/>
              <w:autoSpaceDN/>
              <w:bidi w:val="0"/>
              <w:adjustRightInd w:val="0"/>
              <w:snapToGrid w:val="0"/>
              <w:spacing w:line="360" w:lineRule="auto"/>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系统应提供国内外上市药品的详细临床用药信息，内容包括药物的各种名称、临床应用、用法与用量、注意事项、不良反应、药物相互作用、给药说明、药理、制剂与规格等信息。</w:t>
            </w:r>
          </w:p>
          <w:p w14:paraId="7414D4DD">
            <w:pPr>
              <w:pStyle w:val="13"/>
              <w:pageBreakBefore w:val="0"/>
              <w:numPr>
                <w:ilvl w:val="0"/>
                <w:numId w:val="24"/>
              </w:numPr>
              <w:tabs>
                <w:tab w:val="left" w:pos="709"/>
              </w:tabs>
              <w:kinsoku/>
              <w:wordWrap/>
              <w:overflowPunct/>
              <w:topLinePunct w:val="0"/>
              <w:autoSpaceDE/>
              <w:autoSpaceDN/>
              <w:bidi w:val="0"/>
              <w:adjustRightInd w:val="0"/>
              <w:snapToGrid w:val="0"/>
              <w:spacing w:line="360" w:lineRule="auto"/>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应可查看特殊人群（老人、儿童、妊娠期妇女、哺乳期妇女）及特殊疾病状态（如肝功能不全、肾功能不全、心力衰竭等）患者用药的注意事项。</w:t>
            </w:r>
          </w:p>
          <w:p w14:paraId="06381022">
            <w:pPr>
              <w:pStyle w:val="13"/>
              <w:pageBreakBefore w:val="0"/>
              <w:numPr>
                <w:ilvl w:val="0"/>
                <w:numId w:val="24"/>
              </w:numPr>
              <w:tabs>
                <w:tab w:val="left" w:pos="709"/>
              </w:tabs>
              <w:kinsoku/>
              <w:wordWrap/>
              <w:overflowPunct/>
              <w:topLinePunct w:val="0"/>
              <w:autoSpaceDE/>
              <w:autoSpaceDN/>
              <w:bidi w:val="0"/>
              <w:adjustRightInd w:val="0"/>
              <w:snapToGrid w:val="0"/>
              <w:spacing w:line="360" w:lineRule="auto"/>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应提供与药物临床应用密切相关的信息如不良反应处理方法、药物对检验值或诊断的影响等。 </w:t>
            </w:r>
          </w:p>
          <w:p w14:paraId="70281505">
            <w:pPr>
              <w:pStyle w:val="13"/>
              <w:pageBreakBefore w:val="0"/>
              <w:numPr>
                <w:ilvl w:val="0"/>
                <w:numId w:val="24"/>
              </w:numPr>
              <w:tabs>
                <w:tab w:val="left" w:pos="709"/>
              </w:tabs>
              <w:kinsoku/>
              <w:wordWrap/>
              <w:overflowPunct/>
              <w:topLinePunct w:val="0"/>
              <w:autoSpaceDE/>
              <w:autoSpaceDN/>
              <w:bidi w:val="0"/>
              <w:adjustRightInd w:val="0"/>
              <w:snapToGrid w:val="0"/>
              <w:spacing w:line="360" w:lineRule="auto"/>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应提供高警讯药物、国外专科信息供临床参考。</w:t>
            </w:r>
          </w:p>
          <w:p w14:paraId="32D4C305">
            <w:pPr>
              <w:pStyle w:val="13"/>
              <w:pageBreakBefore w:val="0"/>
              <w:numPr>
                <w:ilvl w:val="0"/>
                <w:numId w:val="24"/>
              </w:numPr>
              <w:kinsoku/>
              <w:wordWrap/>
              <w:overflowPunct/>
              <w:topLinePunct w:val="0"/>
              <w:autoSpaceDE/>
              <w:autoSpaceDN/>
              <w:bidi w:val="0"/>
              <w:adjustRightInd w:val="0"/>
              <w:snapToGrid w:val="0"/>
              <w:spacing w:line="360" w:lineRule="auto"/>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所有信息均应提供参考文献。</w:t>
            </w:r>
          </w:p>
        </w:tc>
      </w:tr>
      <w:tr w14:paraId="6AF7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33C38D7E">
            <w:pPr>
              <w:pStyle w:val="13"/>
              <w:pageBreakBefore w:val="0"/>
              <w:widowControl/>
              <w:numPr>
                <w:ilvl w:val="0"/>
                <w:numId w:val="23"/>
              </w:numPr>
              <w:kinsoku/>
              <w:wordWrap/>
              <w:overflowPunct/>
              <w:topLinePunct w:val="0"/>
              <w:autoSpaceDE/>
              <w:autoSpaceDN/>
              <w:bidi w:val="0"/>
              <w:adjustRightInd w:val="0"/>
              <w:snapToGrid w:val="0"/>
              <w:spacing w:line="360" w:lineRule="auto"/>
              <w:jc w:val="center"/>
              <w:textAlignment w:val="auto"/>
              <w:rPr>
                <w:rFonts w:ascii="宋体" w:hAnsi="宋体" w:eastAsia="宋体" w:cs="宋体"/>
                <w:bCs/>
                <w:color w:val="auto"/>
                <w:sz w:val="21"/>
                <w:szCs w:val="21"/>
                <w:highlight w:val="none"/>
              </w:rPr>
            </w:pPr>
          </w:p>
        </w:tc>
        <w:tc>
          <w:tcPr>
            <w:tcW w:w="1286" w:type="dxa"/>
            <w:vAlign w:val="center"/>
          </w:tcPr>
          <w:p w14:paraId="40E44433">
            <w:pPr>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药品说明书</w:t>
            </w:r>
          </w:p>
        </w:tc>
        <w:tc>
          <w:tcPr>
            <w:tcW w:w="6276" w:type="dxa"/>
            <w:vAlign w:val="center"/>
          </w:tcPr>
          <w:p w14:paraId="408B96B8">
            <w:pPr>
              <w:pageBreakBefore w:val="0"/>
              <w:kinsoku/>
              <w:wordWrap/>
              <w:overflowPunct/>
              <w:topLinePunct w:val="0"/>
              <w:autoSpaceDE/>
              <w:autoSpaceDN/>
              <w:bidi w:val="0"/>
              <w:adjustRightInd w:val="0"/>
              <w:snapToGrid w:val="0"/>
              <w:spacing w:line="360" w:lineRule="auto"/>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系统应提供国家药品监督管理局（NMPA）批准的厂家药品说明书，应可查看NMPA发布的说明书修订通知。还应提供高级检索的功能。</w:t>
            </w:r>
          </w:p>
        </w:tc>
      </w:tr>
      <w:tr w14:paraId="731A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3B4CD20F">
            <w:pPr>
              <w:pStyle w:val="13"/>
              <w:pageBreakBefore w:val="0"/>
              <w:widowControl/>
              <w:numPr>
                <w:ilvl w:val="0"/>
                <w:numId w:val="23"/>
              </w:numPr>
              <w:kinsoku/>
              <w:wordWrap/>
              <w:overflowPunct/>
              <w:topLinePunct w:val="0"/>
              <w:autoSpaceDE/>
              <w:autoSpaceDN/>
              <w:bidi w:val="0"/>
              <w:adjustRightInd w:val="0"/>
              <w:snapToGrid w:val="0"/>
              <w:spacing w:line="360" w:lineRule="auto"/>
              <w:jc w:val="center"/>
              <w:textAlignment w:val="auto"/>
              <w:rPr>
                <w:rFonts w:ascii="宋体" w:hAnsi="宋体" w:eastAsia="宋体" w:cs="宋体"/>
                <w:bCs/>
                <w:color w:val="auto"/>
                <w:sz w:val="21"/>
                <w:szCs w:val="21"/>
                <w:highlight w:val="none"/>
              </w:rPr>
            </w:pPr>
          </w:p>
        </w:tc>
        <w:tc>
          <w:tcPr>
            <w:tcW w:w="1286" w:type="dxa"/>
            <w:vAlign w:val="center"/>
          </w:tcPr>
          <w:p w14:paraId="7B46AC86">
            <w:pPr>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用药教育</w:t>
            </w:r>
          </w:p>
        </w:tc>
        <w:tc>
          <w:tcPr>
            <w:tcW w:w="6276" w:type="dxa"/>
            <w:vAlign w:val="center"/>
          </w:tcPr>
          <w:p w14:paraId="4B0D405A">
            <w:pPr>
              <w:pageBreakBefore w:val="0"/>
              <w:tabs>
                <w:tab w:val="left" w:pos="709"/>
              </w:tabs>
              <w:kinsoku/>
              <w:wordWrap/>
              <w:overflowPunct/>
              <w:topLinePunct w:val="0"/>
              <w:autoSpaceDE/>
              <w:autoSpaceDN/>
              <w:bidi w:val="0"/>
              <w:adjustRightInd w:val="0"/>
              <w:snapToGrid w:val="0"/>
              <w:spacing w:line="360" w:lineRule="auto"/>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系统应为专业人员提供便于辅导病人用药的信息，以通俗易懂的语言，借助图片等形式描述药品的用途、副作用、用药期间注意事项、特殊给药方式图示等信息。</w:t>
            </w:r>
          </w:p>
        </w:tc>
      </w:tr>
      <w:tr w14:paraId="766D8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56A6857C">
            <w:pPr>
              <w:pStyle w:val="13"/>
              <w:pageBreakBefore w:val="0"/>
              <w:widowControl/>
              <w:numPr>
                <w:ilvl w:val="0"/>
                <w:numId w:val="23"/>
              </w:numPr>
              <w:kinsoku/>
              <w:wordWrap/>
              <w:overflowPunct/>
              <w:topLinePunct w:val="0"/>
              <w:autoSpaceDE/>
              <w:autoSpaceDN/>
              <w:bidi w:val="0"/>
              <w:adjustRightInd w:val="0"/>
              <w:snapToGrid w:val="0"/>
              <w:spacing w:line="360" w:lineRule="auto"/>
              <w:jc w:val="center"/>
              <w:textAlignment w:val="auto"/>
              <w:rPr>
                <w:rFonts w:ascii="宋体" w:hAnsi="宋体" w:eastAsia="宋体" w:cs="宋体"/>
                <w:bCs/>
                <w:color w:val="auto"/>
                <w:sz w:val="21"/>
                <w:szCs w:val="21"/>
                <w:highlight w:val="none"/>
              </w:rPr>
            </w:pPr>
          </w:p>
        </w:tc>
        <w:tc>
          <w:tcPr>
            <w:tcW w:w="1286" w:type="dxa"/>
            <w:vAlign w:val="center"/>
          </w:tcPr>
          <w:p w14:paraId="32AE6D69">
            <w:pPr>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bCs/>
                <w:color w:val="auto"/>
                <w:sz w:val="21"/>
                <w:szCs w:val="21"/>
                <w:highlight w:val="none"/>
              </w:rPr>
            </w:pPr>
            <w:r>
              <w:rPr>
                <w:rFonts w:ascii="宋体" w:hAnsi="宋体" w:eastAsia="宋体" w:cs="宋体"/>
                <w:bCs/>
                <w:color w:val="auto"/>
                <w:sz w:val="21"/>
                <w:szCs w:val="21"/>
                <w:highlight w:val="none"/>
              </w:rPr>
              <w:t>ICD</w:t>
            </w:r>
          </w:p>
        </w:tc>
        <w:tc>
          <w:tcPr>
            <w:tcW w:w="6276" w:type="dxa"/>
            <w:vAlign w:val="center"/>
          </w:tcPr>
          <w:p w14:paraId="732E639D">
            <w:pPr>
              <w:pageBreakBefore w:val="0"/>
              <w:kinsoku/>
              <w:wordWrap/>
              <w:overflowPunct/>
              <w:topLinePunct w:val="0"/>
              <w:autoSpaceDE/>
              <w:autoSpaceDN/>
              <w:bidi w:val="0"/>
              <w:adjustRightInd w:val="0"/>
              <w:snapToGrid w:val="0"/>
              <w:spacing w:line="360" w:lineRule="auto"/>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系统应提供ICD10、ICD-9-CM-3、肿瘤形态学编码、ICD-11和国家医疗保障DRG分组的查询功能。</w:t>
            </w:r>
          </w:p>
        </w:tc>
      </w:tr>
      <w:tr w14:paraId="7597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307F95C2">
            <w:pPr>
              <w:pStyle w:val="13"/>
              <w:pageBreakBefore w:val="0"/>
              <w:widowControl/>
              <w:numPr>
                <w:ilvl w:val="0"/>
                <w:numId w:val="23"/>
              </w:numPr>
              <w:kinsoku/>
              <w:wordWrap/>
              <w:overflowPunct/>
              <w:topLinePunct w:val="0"/>
              <w:autoSpaceDE/>
              <w:autoSpaceDN/>
              <w:bidi w:val="0"/>
              <w:adjustRightInd w:val="0"/>
              <w:snapToGrid w:val="0"/>
              <w:spacing w:line="360" w:lineRule="auto"/>
              <w:jc w:val="center"/>
              <w:textAlignment w:val="auto"/>
              <w:rPr>
                <w:rFonts w:ascii="宋体" w:hAnsi="宋体" w:eastAsia="宋体" w:cs="宋体"/>
                <w:bCs/>
                <w:color w:val="auto"/>
                <w:sz w:val="21"/>
                <w:szCs w:val="21"/>
                <w:highlight w:val="none"/>
              </w:rPr>
            </w:pPr>
          </w:p>
        </w:tc>
        <w:tc>
          <w:tcPr>
            <w:tcW w:w="1286" w:type="dxa"/>
            <w:vAlign w:val="center"/>
          </w:tcPr>
          <w:p w14:paraId="3B730509">
            <w:pPr>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ATC编码与DDD值</w:t>
            </w:r>
          </w:p>
        </w:tc>
        <w:tc>
          <w:tcPr>
            <w:tcW w:w="6276" w:type="dxa"/>
            <w:vAlign w:val="center"/>
          </w:tcPr>
          <w:p w14:paraId="01A42A6D">
            <w:pPr>
              <w:pageBreakBefore w:val="0"/>
              <w:kinsoku/>
              <w:wordWrap/>
              <w:overflowPunct/>
              <w:topLinePunct w:val="0"/>
              <w:autoSpaceDE/>
              <w:autoSpaceDN/>
              <w:bidi w:val="0"/>
              <w:adjustRightInd w:val="0"/>
              <w:snapToGrid w:val="0"/>
              <w:spacing w:line="360" w:lineRule="auto"/>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系统应提供国内外权威机构发布的药物ATC编码与DDD值，应可查看药物对应的上市药品信息。</w:t>
            </w:r>
          </w:p>
        </w:tc>
      </w:tr>
      <w:tr w14:paraId="7D58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1A29B900">
            <w:pPr>
              <w:pStyle w:val="13"/>
              <w:pageBreakBefore w:val="0"/>
              <w:widowControl/>
              <w:numPr>
                <w:ilvl w:val="0"/>
                <w:numId w:val="23"/>
              </w:numPr>
              <w:kinsoku/>
              <w:wordWrap/>
              <w:overflowPunct/>
              <w:topLinePunct w:val="0"/>
              <w:autoSpaceDE/>
              <w:autoSpaceDN/>
              <w:bidi w:val="0"/>
              <w:adjustRightInd w:val="0"/>
              <w:snapToGrid w:val="0"/>
              <w:spacing w:line="360" w:lineRule="auto"/>
              <w:jc w:val="center"/>
              <w:textAlignment w:val="auto"/>
              <w:rPr>
                <w:rFonts w:ascii="宋体" w:hAnsi="宋体" w:eastAsia="宋体" w:cs="宋体"/>
                <w:bCs/>
                <w:color w:val="auto"/>
                <w:sz w:val="21"/>
                <w:szCs w:val="21"/>
                <w:highlight w:val="none"/>
              </w:rPr>
            </w:pPr>
          </w:p>
        </w:tc>
        <w:tc>
          <w:tcPr>
            <w:tcW w:w="1286" w:type="dxa"/>
            <w:vAlign w:val="center"/>
          </w:tcPr>
          <w:p w14:paraId="3669209A">
            <w:pPr>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检验值</w:t>
            </w:r>
          </w:p>
        </w:tc>
        <w:tc>
          <w:tcPr>
            <w:tcW w:w="6276" w:type="dxa"/>
            <w:vAlign w:val="center"/>
          </w:tcPr>
          <w:p w14:paraId="1EB40471">
            <w:pPr>
              <w:pageBreakBefore w:val="0"/>
              <w:kinsoku/>
              <w:wordWrap/>
              <w:overflowPunct/>
              <w:topLinePunct w:val="0"/>
              <w:autoSpaceDE/>
              <w:autoSpaceDN/>
              <w:bidi w:val="0"/>
              <w:adjustRightInd w:val="0"/>
              <w:snapToGrid w:val="0"/>
              <w:spacing w:line="360" w:lineRule="auto"/>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系统应提供常用检验项目信息，应包含检验项目正常参考值范围、结果及临床意义、药物对检验结果的影响等内容。可按检验类别查询，也可按检验名称查询检验值信息。</w:t>
            </w:r>
          </w:p>
        </w:tc>
      </w:tr>
      <w:tr w14:paraId="0A90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6A554DD0">
            <w:pPr>
              <w:pStyle w:val="13"/>
              <w:pageBreakBefore w:val="0"/>
              <w:widowControl/>
              <w:numPr>
                <w:ilvl w:val="0"/>
                <w:numId w:val="23"/>
              </w:numPr>
              <w:kinsoku/>
              <w:wordWrap/>
              <w:overflowPunct/>
              <w:topLinePunct w:val="0"/>
              <w:autoSpaceDE/>
              <w:autoSpaceDN/>
              <w:bidi w:val="0"/>
              <w:adjustRightInd w:val="0"/>
              <w:snapToGrid w:val="0"/>
              <w:spacing w:line="360" w:lineRule="auto"/>
              <w:jc w:val="center"/>
              <w:textAlignment w:val="auto"/>
              <w:rPr>
                <w:rFonts w:ascii="宋体" w:hAnsi="宋体" w:eastAsia="宋体" w:cs="宋体"/>
                <w:bCs/>
                <w:color w:val="auto"/>
                <w:sz w:val="21"/>
                <w:szCs w:val="21"/>
                <w:highlight w:val="none"/>
              </w:rPr>
            </w:pPr>
          </w:p>
        </w:tc>
        <w:tc>
          <w:tcPr>
            <w:tcW w:w="1286" w:type="dxa"/>
            <w:vAlign w:val="center"/>
          </w:tcPr>
          <w:p w14:paraId="760B2D39">
            <w:pPr>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药品基本信息</w:t>
            </w:r>
          </w:p>
        </w:tc>
        <w:tc>
          <w:tcPr>
            <w:tcW w:w="6276" w:type="dxa"/>
            <w:vAlign w:val="center"/>
          </w:tcPr>
          <w:p w14:paraId="04C7EF6A">
            <w:pPr>
              <w:pageBreakBefore w:val="0"/>
              <w:kinsoku/>
              <w:wordWrap/>
              <w:overflowPunct/>
              <w:topLinePunct w:val="0"/>
              <w:autoSpaceDE/>
              <w:autoSpaceDN/>
              <w:bidi w:val="0"/>
              <w:adjustRightInd w:val="0"/>
              <w:snapToGrid w:val="0"/>
              <w:spacing w:line="360" w:lineRule="auto"/>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系统应提供国家药品监督管理局（NMPA）批准上市药品的信息，包括药品的通用名、商品名、剂型、规格、批准文号/药品编码、生产厂家，并标注基本药物、社保品种、OTC药物、兴奋药品、精神类药品、麻醉类药品、原研药、仿制药等。可查询药品生产企业获批生产的药品信息，并可查看药品说明书。可查询国家集采药品数据及替代药品参考监测范围、兴奋剂目录、国家重点监控合理用药药品目录。</w:t>
            </w:r>
          </w:p>
        </w:tc>
      </w:tr>
      <w:tr w14:paraId="600A5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33A23744">
            <w:pPr>
              <w:pStyle w:val="13"/>
              <w:pageBreakBefore w:val="0"/>
              <w:widowControl/>
              <w:numPr>
                <w:ilvl w:val="0"/>
                <w:numId w:val="23"/>
              </w:numPr>
              <w:kinsoku/>
              <w:wordWrap/>
              <w:overflowPunct/>
              <w:topLinePunct w:val="0"/>
              <w:autoSpaceDE/>
              <w:autoSpaceDN/>
              <w:bidi w:val="0"/>
              <w:adjustRightInd w:val="0"/>
              <w:snapToGrid w:val="0"/>
              <w:spacing w:line="360" w:lineRule="auto"/>
              <w:jc w:val="center"/>
              <w:textAlignment w:val="auto"/>
              <w:rPr>
                <w:rFonts w:ascii="宋体" w:hAnsi="宋体" w:eastAsia="宋体" w:cs="宋体"/>
                <w:bCs/>
                <w:color w:val="auto"/>
                <w:sz w:val="21"/>
                <w:szCs w:val="21"/>
                <w:highlight w:val="none"/>
              </w:rPr>
            </w:pPr>
          </w:p>
        </w:tc>
        <w:tc>
          <w:tcPr>
            <w:tcW w:w="1286" w:type="dxa"/>
            <w:vAlign w:val="center"/>
          </w:tcPr>
          <w:p w14:paraId="40376D6A">
            <w:pPr>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临床路径</w:t>
            </w:r>
          </w:p>
        </w:tc>
        <w:tc>
          <w:tcPr>
            <w:tcW w:w="6276" w:type="dxa"/>
            <w:vAlign w:val="center"/>
          </w:tcPr>
          <w:p w14:paraId="0139A1F1">
            <w:pPr>
              <w:pageBreakBefore w:val="0"/>
              <w:kinsoku/>
              <w:wordWrap/>
              <w:overflowPunct/>
              <w:topLinePunct w:val="0"/>
              <w:autoSpaceDE/>
              <w:autoSpaceDN/>
              <w:bidi w:val="0"/>
              <w:adjustRightInd w:val="0"/>
              <w:snapToGrid w:val="0"/>
              <w:spacing w:line="360" w:lineRule="auto"/>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系统应提供国家卫健委发布的临床路径，应覆盖临床常见疾病品种。可按临床科室分类浏览，也可按疾病关键词检索临床路径。</w:t>
            </w:r>
          </w:p>
        </w:tc>
      </w:tr>
      <w:tr w14:paraId="7F57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5154472C">
            <w:pPr>
              <w:pStyle w:val="13"/>
              <w:pageBreakBefore w:val="0"/>
              <w:widowControl/>
              <w:numPr>
                <w:ilvl w:val="0"/>
                <w:numId w:val="23"/>
              </w:numPr>
              <w:kinsoku/>
              <w:wordWrap/>
              <w:overflowPunct/>
              <w:topLinePunct w:val="0"/>
              <w:autoSpaceDE/>
              <w:autoSpaceDN/>
              <w:bidi w:val="0"/>
              <w:adjustRightInd w:val="0"/>
              <w:snapToGrid w:val="0"/>
              <w:spacing w:line="360" w:lineRule="auto"/>
              <w:jc w:val="center"/>
              <w:textAlignment w:val="auto"/>
              <w:rPr>
                <w:rFonts w:ascii="宋体" w:hAnsi="宋体" w:eastAsia="宋体" w:cs="宋体"/>
                <w:bCs/>
                <w:color w:val="auto"/>
                <w:sz w:val="21"/>
                <w:szCs w:val="21"/>
                <w:highlight w:val="none"/>
              </w:rPr>
            </w:pPr>
          </w:p>
        </w:tc>
        <w:tc>
          <w:tcPr>
            <w:tcW w:w="1286" w:type="dxa"/>
            <w:vAlign w:val="center"/>
          </w:tcPr>
          <w:p w14:paraId="789A560A">
            <w:pPr>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医药公式</w:t>
            </w:r>
          </w:p>
        </w:tc>
        <w:tc>
          <w:tcPr>
            <w:tcW w:w="6276" w:type="dxa"/>
            <w:vAlign w:val="center"/>
          </w:tcPr>
          <w:p w14:paraId="64C9E3E4">
            <w:pPr>
              <w:pageBreakBefore w:val="0"/>
              <w:kinsoku/>
              <w:wordWrap/>
              <w:overflowPunct/>
              <w:topLinePunct w:val="0"/>
              <w:autoSpaceDE/>
              <w:autoSpaceDN/>
              <w:bidi w:val="0"/>
              <w:adjustRightInd w:val="0"/>
              <w:snapToGrid w:val="0"/>
              <w:spacing w:line="360" w:lineRule="auto"/>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系统应提供常用医药公式、评分、分级标准量表等，内容涵盖了内科、外科、妇产科、儿科、神经科等，公式应提供计算功能。可按临床科室分类浏览，也可按公式名称检索。</w:t>
            </w:r>
          </w:p>
        </w:tc>
      </w:tr>
      <w:tr w14:paraId="5609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5366D055">
            <w:pPr>
              <w:pStyle w:val="13"/>
              <w:pageBreakBefore w:val="0"/>
              <w:widowControl/>
              <w:numPr>
                <w:ilvl w:val="0"/>
                <w:numId w:val="23"/>
              </w:numPr>
              <w:kinsoku/>
              <w:wordWrap/>
              <w:overflowPunct/>
              <w:topLinePunct w:val="0"/>
              <w:autoSpaceDE/>
              <w:autoSpaceDN/>
              <w:bidi w:val="0"/>
              <w:adjustRightInd w:val="0"/>
              <w:snapToGrid w:val="0"/>
              <w:spacing w:line="360" w:lineRule="auto"/>
              <w:jc w:val="center"/>
              <w:textAlignment w:val="auto"/>
              <w:rPr>
                <w:rFonts w:ascii="宋体" w:hAnsi="宋体" w:eastAsia="宋体" w:cs="宋体"/>
                <w:bCs/>
                <w:color w:val="auto"/>
                <w:sz w:val="21"/>
                <w:szCs w:val="21"/>
                <w:highlight w:val="none"/>
              </w:rPr>
            </w:pPr>
          </w:p>
        </w:tc>
        <w:tc>
          <w:tcPr>
            <w:tcW w:w="1286" w:type="dxa"/>
            <w:vAlign w:val="center"/>
          </w:tcPr>
          <w:p w14:paraId="07A17C5C">
            <w:pPr>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医药时讯</w:t>
            </w:r>
          </w:p>
        </w:tc>
        <w:tc>
          <w:tcPr>
            <w:tcW w:w="6276" w:type="dxa"/>
            <w:vAlign w:val="center"/>
          </w:tcPr>
          <w:p w14:paraId="48B7C6AF">
            <w:pPr>
              <w:pageBreakBefore w:val="0"/>
              <w:kinsoku/>
              <w:wordWrap/>
              <w:overflowPunct/>
              <w:topLinePunct w:val="0"/>
              <w:autoSpaceDE/>
              <w:autoSpaceDN/>
              <w:bidi w:val="0"/>
              <w:adjustRightInd w:val="0"/>
              <w:snapToGrid w:val="0"/>
              <w:spacing w:line="360" w:lineRule="auto"/>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系统应提供国内外政府网站和医药学专业数据库、核心期刊发布的最新药物研究成果、药物警戒信息、新药研发和上市资讯等内容。</w:t>
            </w:r>
          </w:p>
        </w:tc>
      </w:tr>
      <w:tr w14:paraId="7DEF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540675D7">
            <w:pPr>
              <w:pStyle w:val="13"/>
              <w:pageBreakBefore w:val="0"/>
              <w:widowControl/>
              <w:numPr>
                <w:ilvl w:val="0"/>
                <w:numId w:val="23"/>
              </w:numPr>
              <w:kinsoku/>
              <w:wordWrap/>
              <w:overflowPunct/>
              <w:topLinePunct w:val="0"/>
              <w:autoSpaceDE/>
              <w:autoSpaceDN/>
              <w:bidi w:val="0"/>
              <w:adjustRightInd w:val="0"/>
              <w:snapToGrid w:val="0"/>
              <w:spacing w:line="360" w:lineRule="auto"/>
              <w:jc w:val="center"/>
              <w:textAlignment w:val="auto"/>
              <w:rPr>
                <w:rFonts w:ascii="宋体" w:hAnsi="宋体" w:eastAsia="宋体" w:cs="宋体"/>
                <w:bCs/>
                <w:color w:val="auto"/>
                <w:sz w:val="21"/>
                <w:szCs w:val="21"/>
                <w:highlight w:val="none"/>
              </w:rPr>
            </w:pPr>
          </w:p>
        </w:tc>
        <w:tc>
          <w:tcPr>
            <w:tcW w:w="1286" w:type="dxa"/>
            <w:vAlign w:val="center"/>
          </w:tcPr>
          <w:p w14:paraId="779FCCD5">
            <w:pPr>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医药法规</w:t>
            </w:r>
          </w:p>
        </w:tc>
        <w:tc>
          <w:tcPr>
            <w:tcW w:w="6276" w:type="dxa"/>
            <w:vAlign w:val="center"/>
          </w:tcPr>
          <w:p w14:paraId="2B3E7563">
            <w:pPr>
              <w:pageBreakBefore w:val="0"/>
              <w:kinsoku/>
              <w:wordWrap/>
              <w:overflowPunct/>
              <w:topLinePunct w:val="0"/>
              <w:autoSpaceDE/>
              <w:autoSpaceDN/>
              <w:bidi w:val="0"/>
              <w:adjustRightInd w:val="0"/>
              <w:snapToGrid w:val="0"/>
              <w:spacing w:line="360" w:lineRule="auto"/>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系统应收录国家药品监督管理局、国家卫生健康委员会等权威机构发布的关于药品管理、传染病防治、医疗事故管理、医疗机构管理等方面的法律法规文件。应支持关键词检索，可通过发布部门、效力级别分类浏览。</w:t>
            </w:r>
          </w:p>
        </w:tc>
      </w:tr>
      <w:tr w14:paraId="228D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709C0F1C">
            <w:pPr>
              <w:pStyle w:val="13"/>
              <w:pageBreakBefore w:val="0"/>
              <w:widowControl/>
              <w:numPr>
                <w:ilvl w:val="0"/>
                <w:numId w:val="23"/>
              </w:numPr>
              <w:kinsoku/>
              <w:wordWrap/>
              <w:overflowPunct/>
              <w:topLinePunct w:val="0"/>
              <w:autoSpaceDE/>
              <w:autoSpaceDN/>
              <w:bidi w:val="0"/>
              <w:adjustRightInd w:val="0"/>
              <w:snapToGrid w:val="0"/>
              <w:spacing w:line="360" w:lineRule="auto"/>
              <w:jc w:val="center"/>
              <w:textAlignment w:val="auto"/>
              <w:rPr>
                <w:rFonts w:ascii="宋体" w:hAnsi="宋体" w:eastAsia="宋体" w:cs="宋体"/>
                <w:bCs/>
                <w:color w:val="auto"/>
                <w:sz w:val="21"/>
                <w:szCs w:val="21"/>
                <w:highlight w:val="none"/>
              </w:rPr>
            </w:pPr>
          </w:p>
        </w:tc>
        <w:tc>
          <w:tcPr>
            <w:tcW w:w="1286" w:type="dxa"/>
            <w:vAlign w:val="center"/>
          </w:tcPr>
          <w:p w14:paraId="4E6EEE70">
            <w:pPr>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rPr>
              <w:t>超说明用药</w:t>
            </w:r>
          </w:p>
        </w:tc>
        <w:tc>
          <w:tcPr>
            <w:tcW w:w="6276" w:type="dxa"/>
            <w:vAlign w:val="center"/>
          </w:tcPr>
          <w:p w14:paraId="2E5691B1">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rPr>
              <w:t>系统应提供权威的超说明书用药信息，内容应包括用药类型、适应症、用法用量、循证医学证据等。</w:t>
            </w:r>
          </w:p>
        </w:tc>
      </w:tr>
      <w:tr w14:paraId="1C64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26646C74">
            <w:pPr>
              <w:pStyle w:val="13"/>
              <w:pageBreakBefore w:val="0"/>
              <w:widowControl/>
              <w:numPr>
                <w:ilvl w:val="0"/>
                <w:numId w:val="23"/>
              </w:numPr>
              <w:kinsoku/>
              <w:wordWrap/>
              <w:overflowPunct/>
              <w:topLinePunct w:val="0"/>
              <w:autoSpaceDE/>
              <w:autoSpaceDN/>
              <w:bidi w:val="0"/>
              <w:adjustRightInd w:val="0"/>
              <w:snapToGrid w:val="0"/>
              <w:spacing w:line="360" w:lineRule="auto"/>
              <w:jc w:val="center"/>
              <w:textAlignment w:val="auto"/>
              <w:rPr>
                <w:rFonts w:ascii="宋体" w:hAnsi="宋体" w:eastAsia="宋体" w:cs="宋体"/>
                <w:bCs/>
                <w:color w:val="auto"/>
                <w:sz w:val="21"/>
                <w:szCs w:val="21"/>
                <w:highlight w:val="none"/>
              </w:rPr>
            </w:pPr>
          </w:p>
        </w:tc>
        <w:tc>
          <w:tcPr>
            <w:tcW w:w="1286" w:type="dxa"/>
            <w:vAlign w:val="center"/>
          </w:tcPr>
          <w:p w14:paraId="2195F939">
            <w:pPr>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药物相互作用审查</w:t>
            </w:r>
          </w:p>
        </w:tc>
        <w:tc>
          <w:tcPr>
            <w:tcW w:w="6276" w:type="dxa"/>
            <w:vAlign w:val="center"/>
          </w:tcPr>
          <w:p w14:paraId="09BC2F07">
            <w:pPr>
              <w:pStyle w:val="13"/>
              <w:pageBreakBefore w:val="0"/>
              <w:numPr>
                <w:ilvl w:val="0"/>
                <w:numId w:val="0"/>
              </w:numPr>
              <w:kinsoku/>
              <w:wordWrap/>
              <w:overflowPunct/>
              <w:topLinePunct w:val="0"/>
              <w:autoSpaceDE/>
              <w:autoSpaceDN/>
              <w:bidi w:val="0"/>
              <w:adjustRightInd w:val="0"/>
              <w:snapToGrid w:val="0"/>
              <w:spacing w:line="360" w:lineRule="auto"/>
              <w:ind w:left="420" w:leftChars="0" w:hanging="420" w:firstLineChars="0"/>
              <w:textAlignment w:val="auto"/>
              <w:rPr>
                <w:rFonts w:ascii="宋体" w:hAnsi="宋体" w:eastAsia="宋体" w:cs="宋体"/>
                <w:bCs/>
                <w:color w:val="auto"/>
                <w:sz w:val="21"/>
                <w:szCs w:val="21"/>
                <w:highlight w:val="none"/>
              </w:rPr>
            </w:pPr>
            <w:r>
              <w:rPr>
                <w:rFonts w:hint="eastAsia" w:ascii="宋体" w:hAnsi="宋体" w:eastAsia="宋体" w:cs="宋体"/>
                <w:bCs/>
                <w:color w:val="auto"/>
                <w:kern w:val="2"/>
                <w:sz w:val="21"/>
                <w:szCs w:val="21"/>
                <w:lang w:val="en-US" w:eastAsia="zh-CN" w:bidi="ar-SA"/>
              </w:rPr>
              <w:t>1</w:t>
            </w:r>
            <w:r>
              <w:rPr>
                <w:rFonts w:hint="eastAsia" w:cs="宋体"/>
                <w:bCs/>
                <w:color w:val="auto"/>
                <w:kern w:val="2"/>
                <w:sz w:val="21"/>
                <w:szCs w:val="21"/>
                <w:lang w:val="en-US" w:eastAsia="zh-CN" w:bidi="ar-SA"/>
              </w:rPr>
              <w:t>3</w:t>
            </w:r>
            <w:r>
              <w:rPr>
                <w:rFonts w:hint="eastAsia" w:ascii="宋体" w:hAnsi="宋体" w:eastAsia="宋体" w:cs="宋体"/>
                <w:bCs/>
                <w:color w:val="auto"/>
                <w:kern w:val="2"/>
                <w:sz w:val="21"/>
                <w:szCs w:val="21"/>
                <w:lang w:val="en-US" w:eastAsia="zh-CN" w:bidi="ar-SA"/>
              </w:rPr>
              <w:t>.1</w:t>
            </w:r>
            <w:r>
              <w:rPr>
                <w:rFonts w:hint="eastAsia" w:ascii="宋体" w:hAnsi="宋体" w:eastAsia="宋体" w:cs="宋体"/>
                <w:bCs/>
                <w:color w:val="auto"/>
                <w:sz w:val="21"/>
                <w:szCs w:val="21"/>
                <w:highlight w:val="none"/>
              </w:rPr>
              <w:t>系统应提供药物-药物、药物-食物、药物-咖啡因、药物-酒精、药物-保健品、保健品-保健品之间的相互作用信息，应提供西药和西药、中药和中药、中药和西药的相互作用信息。</w:t>
            </w:r>
          </w:p>
          <w:p w14:paraId="33226932">
            <w:pPr>
              <w:pStyle w:val="13"/>
              <w:pageBreakBefore w:val="0"/>
              <w:numPr>
                <w:ilvl w:val="0"/>
                <w:numId w:val="0"/>
              </w:numPr>
              <w:kinsoku/>
              <w:wordWrap/>
              <w:overflowPunct/>
              <w:topLinePunct w:val="0"/>
              <w:autoSpaceDE/>
              <w:autoSpaceDN/>
              <w:bidi w:val="0"/>
              <w:adjustRightInd w:val="0"/>
              <w:snapToGrid w:val="0"/>
              <w:spacing w:line="360" w:lineRule="auto"/>
              <w:ind w:left="420" w:leftChars="0" w:hanging="420" w:firstLineChars="0"/>
              <w:textAlignment w:val="auto"/>
              <w:rPr>
                <w:rFonts w:ascii="宋体" w:hAnsi="宋体" w:eastAsia="宋体" w:cs="宋体"/>
                <w:bCs/>
                <w:color w:val="auto"/>
                <w:sz w:val="21"/>
                <w:szCs w:val="21"/>
                <w:highlight w:val="none"/>
              </w:rPr>
            </w:pPr>
            <w:r>
              <w:rPr>
                <w:rFonts w:hint="eastAsia" w:ascii="宋体" w:hAnsi="宋体" w:eastAsia="宋体" w:cs="宋体"/>
                <w:bCs/>
                <w:color w:val="auto"/>
                <w:kern w:val="2"/>
                <w:sz w:val="21"/>
                <w:szCs w:val="21"/>
                <w:lang w:val="en-US" w:eastAsia="zh-CN" w:bidi="ar-SA"/>
              </w:rPr>
              <w:t>1</w:t>
            </w:r>
            <w:r>
              <w:rPr>
                <w:rFonts w:hint="eastAsia" w:cs="宋体"/>
                <w:bCs/>
                <w:color w:val="auto"/>
                <w:kern w:val="2"/>
                <w:sz w:val="21"/>
                <w:szCs w:val="21"/>
                <w:lang w:val="en-US" w:eastAsia="zh-CN" w:bidi="ar-SA"/>
              </w:rPr>
              <w:t>3</w:t>
            </w:r>
            <w:r>
              <w:rPr>
                <w:rFonts w:hint="eastAsia" w:ascii="宋体" w:hAnsi="宋体" w:eastAsia="宋体" w:cs="宋体"/>
                <w:bCs/>
                <w:color w:val="auto"/>
                <w:kern w:val="2"/>
                <w:sz w:val="21"/>
                <w:szCs w:val="21"/>
                <w:lang w:val="en-US" w:eastAsia="zh-CN" w:bidi="ar-SA"/>
              </w:rPr>
              <w:t>.2</w:t>
            </w:r>
            <w:r>
              <w:rPr>
                <w:rFonts w:hint="eastAsia" w:ascii="宋体" w:hAnsi="宋体" w:eastAsia="宋体" w:cs="宋体"/>
                <w:bCs/>
                <w:color w:val="auto"/>
                <w:sz w:val="21"/>
                <w:szCs w:val="21"/>
                <w:highlight w:val="none"/>
              </w:rPr>
              <w:t>内容应包括药物相互作用的结果、机制、临床处理、严重级别、案例评价及讨论等内容。</w:t>
            </w:r>
          </w:p>
          <w:p w14:paraId="3D4C70AA">
            <w:pPr>
              <w:pStyle w:val="13"/>
              <w:pageBreakBefore w:val="0"/>
              <w:numPr>
                <w:ilvl w:val="0"/>
                <w:numId w:val="0"/>
              </w:numPr>
              <w:kinsoku/>
              <w:wordWrap/>
              <w:overflowPunct/>
              <w:topLinePunct w:val="0"/>
              <w:autoSpaceDE/>
              <w:autoSpaceDN/>
              <w:bidi w:val="0"/>
              <w:adjustRightInd w:val="0"/>
              <w:snapToGrid w:val="0"/>
              <w:spacing w:line="360" w:lineRule="auto"/>
              <w:ind w:left="420" w:leftChars="0" w:hanging="420" w:firstLineChars="0"/>
              <w:textAlignment w:val="auto"/>
              <w:rPr>
                <w:rFonts w:ascii="宋体" w:hAnsi="宋体" w:eastAsia="宋体" w:cs="宋体"/>
                <w:bCs/>
                <w:color w:val="auto"/>
                <w:sz w:val="21"/>
                <w:szCs w:val="21"/>
                <w:highlight w:val="none"/>
              </w:rPr>
            </w:pPr>
            <w:r>
              <w:rPr>
                <w:rFonts w:hint="eastAsia" w:ascii="宋体" w:hAnsi="宋体" w:eastAsia="宋体" w:cs="宋体"/>
                <w:bCs/>
                <w:color w:val="auto"/>
                <w:kern w:val="2"/>
                <w:sz w:val="21"/>
                <w:szCs w:val="21"/>
                <w:lang w:val="en-US" w:eastAsia="zh-CN" w:bidi="ar-SA"/>
              </w:rPr>
              <w:t>1</w:t>
            </w:r>
            <w:r>
              <w:rPr>
                <w:rFonts w:hint="eastAsia" w:cs="宋体"/>
                <w:bCs/>
                <w:color w:val="auto"/>
                <w:kern w:val="2"/>
                <w:sz w:val="21"/>
                <w:szCs w:val="21"/>
                <w:lang w:val="en-US" w:eastAsia="zh-CN" w:bidi="ar-SA"/>
              </w:rPr>
              <w:t>3</w:t>
            </w:r>
            <w:r>
              <w:rPr>
                <w:rFonts w:hint="eastAsia" w:ascii="宋体" w:hAnsi="宋体" w:eastAsia="宋体" w:cs="宋体"/>
                <w:bCs/>
                <w:color w:val="auto"/>
                <w:kern w:val="2"/>
                <w:sz w:val="21"/>
                <w:szCs w:val="21"/>
                <w:lang w:val="en-US" w:eastAsia="zh-CN" w:bidi="ar-SA"/>
              </w:rPr>
              <w:t>.3</w:t>
            </w:r>
            <w:r>
              <w:rPr>
                <w:rFonts w:hint="eastAsia" w:ascii="宋体" w:hAnsi="宋体" w:eastAsia="宋体" w:cs="宋体"/>
                <w:bCs/>
                <w:color w:val="auto"/>
                <w:sz w:val="21"/>
                <w:szCs w:val="21"/>
                <w:highlight w:val="none"/>
              </w:rPr>
              <w:t>应可实现单药相互作用分析及多药相互作用审查。</w:t>
            </w:r>
          </w:p>
          <w:p w14:paraId="7D2A4343">
            <w:pPr>
              <w:pStyle w:val="13"/>
              <w:pageBreakBefore w:val="0"/>
              <w:numPr>
                <w:ilvl w:val="0"/>
                <w:numId w:val="0"/>
              </w:numPr>
              <w:kinsoku/>
              <w:wordWrap/>
              <w:overflowPunct/>
              <w:topLinePunct w:val="0"/>
              <w:autoSpaceDE/>
              <w:autoSpaceDN/>
              <w:bidi w:val="0"/>
              <w:adjustRightInd w:val="0"/>
              <w:snapToGrid w:val="0"/>
              <w:spacing w:line="360" w:lineRule="auto"/>
              <w:ind w:left="420" w:leftChars="0" w:hanging="420" w:firstLineChars="0"/>
              <w:textAlignment w:val="auto"/>
              <w:rPr>
                <w:rFonts w:ascii="宋体" w:hAnsi="宋体" w:eastAsia="宋体" w:cs="宋体"/>
                <w:bCs/>
                <w:color w:val="auto"/>
                <w:sz w:val="21"/>
                <w:szCs w:val="21"/>
                <w:highlight w:val="none"/>
              </w:rPr>
            </w:pPr>
            <w:r>
              <w:rPr>
                <w:rFonts w:hint="eastAsia" w:ascii="宋体" w:hAnsi="宋体" w:eastAsia="宋体" w:cs="宋体"/>
                <w:bCs/>
                <w:color w:val="auto"/>
                <w:kern w:val="2"/>
                <w:sz w:val="21"/>
                <w:szCs w:val="21"/>
                <w:lang w:val="en-US" w:eastAsia="zh-CN" w:bidi="ar-SA"/>
              </w:rPr>
              <w:t>1</w:t>
            </w:r>
            <w:r>
              <w:rPr>
                <w:rFonts w:hint="eastAsia" w:cs="宋体"/>
                <w:bCs/>
                <w:color w:val="auto"/>
                <w:kern w:val="2"/>
                <w:sz w:val="21"/>
                <w:szCs w:val="21"/>
                <w:lang w:val="en-US" w:eastAsia="zh-CN" w:bidi="ar-SA"/>
              </w:rPr>
              <w:t>3</w:t>
            </w:r>
            <w:r>
              <w:rPr>
                <w:rFonts w:hint="eastAsia" w:ascii="宋体" w:hAnsi="宋体" w:eastAsia="宋体" w:cs="宋体"/>
                <w:bCs/>
                <w:color w:val="auto"/>
                <w:kern w:val="2"/>
                <w:sz w:val="21"/>
                <w:szCs w:val="21"/>
                <w:lang w:val="en-US" w:eastAsia="zh-CN" w:bidi="ar-SA"/>
              </w:rPr>
              <w:t>.4</w:t>
            </w:r>
            <w:r>
              <w:rPr>
                <w:rFonts w:hint="eastAsia" w:ascii="宋体" w:hAnsi="宋体" w:eastAsia="宋体" w:cs="宋体"/>
                <w:bCs/>
                <w:color w:val="auto"/>
                <w:sz w:val="21"/>
                <w:szCs w:val="21"/>
                <w:highlight w:val="none"/>
              </w:rPr>
              <w:t>参考文献应包含国内外的期刊文献、数据库等。</w:t>
            </w:r>
          </w:p>
        </w:tc>
      </w:tr>
      <w:tr w14:paraId="6C7A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451C4E0E">
            <w:pPr>
              <w:pStyle w:val="13"/>
              <w:pageBreakBefore w:val="0"/>
              <w:widowControl/>
              <w:numPr>
                <w:ilvl w:val="0"/>
                <w:numId w:val="23"/>
              </w:numPr>
              <w:kinsoku/>
              <w:wordWrap/>
              <w:overflowPunct/>
              <w:topLinePunct w:val="0"/>
              <w:autoSpaceDE/>
              <w:autoSpaceDN/>
              <w:bidi w:val="0"/>
              <w:adjustRightInd w:val="0"/>
              <w:snapToGrid w:val="0"/>
              <w:spacing w:line="360" w:lineRule="auto"/>
              <w:jc w:val="center"/>
              <w:textAlignment w:val="auto"/>
              <w:rPr>
                <w:rFonts w:ascii="宋体" w:hAnsi="宋体" w:eastAsia="宋体" w:cs="宋体"/>
                <w:bCs/>
                <w:color w:val="auto"/>
                <w:sz w:val="21"/>
                <w:szCs w:val="21"/>
                <w:highlight w:val="none"/>
              </w:rPr>
            </w:pPr>
          </w:p>
        </w:tc>
        <w:tc>
          <w:tcPr>
            <w:tcW w:w="1286" w:type="dxa"/>
            <w:vAlign w:val="center"/>
          </w:tcPr>
          <w:p w14:paraId="58189D40">
            <w:pPr>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注射剂配伍审查</w:t>
            </w:r>
          </w:p>
        </w:tc>
        <w:tc>
          <w:tcPr>
            <w:tcW w:w="6276" w:type="dxa"/>
            <w:vAlign w:val="center"/>
          </w:tcPr>
          <w:p w14:paraId="4AF2F12D">
            <w:pPr>
              <w:pageBreakBefore w:val="0"/>
              <w:kinsoku/>
              <w:wordWrap/>
              <w:overflowPunct/>
              <w:topLinePunct w:val="0"/>
              <w:autoSpaceDE/>
              <w:autoSpaceDN/>
              <w:bidi w:val="0"/>
              <w:adjustRightInd w:val="0"/>
              <w:snapToGrid w:val="0"/>
              <w:spacing w:line="360" w:lineRule="auto"/>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系统应提供注射药物配伍的信息，内容包括了注射药物配伍的物理化学变化及药效学变化、支持配伍结论的实验数据等。应可实现单药注射剂配伍分析及多药注射配伍进行审查。</w:t>
            </w:r>
          </w:p>
        </w:tc>
      </w:tr>
      <w:tr w14:paraId="3D42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1C13ECAC">
            <w:pPr>
              <w:pStyle w:val="13"/>
              <w:pageBreakBefore w:val="0"/>
              <w:widowControl/>
              <w:numPr>
                <w:ilvl w:val="0"/>
                <w:numId w:val="23"/>
              </w:numPr>
              <w:kinsoku/>
              <w:wordWrap/>
              <w:overflowPunct/>
              <w:topLinePunct w:val="0"/>
              <w:autoSpaceDE/>
              <w:autoSpaceDN/>
              <w:bidi w:val="0"/>
              <w:adjustRightInd w:val="0"/>
              <w:snapToGrid w:val="0"/>
              <w:spacing w:line="360" w:lineRule="auto"/>
              <w:jc w:val="center"/>
              <w:textAlignment w:val="auto"/>
              <w:rPr>
                <w:rFonts w:ascii="宋体" w:hAnsi="宋体" w:eastAsia="宋体" w:cs="宋体"/>
                <w:bCs/>
                <w:color w:val="auto"/>
                <w:sz w:val="21"/>
                <w:szCs w:val="21"/>
                <w:highlight w:val="none"/>
              </w:rPr>
            </w:pPr>
          </w:p>
        </w:tc>
        <w:tc>
          <w:tcPr>
            <w:tcW w:w="1286" w:type="dxa"/>
            <w:vAlign w:val="center"/>
          </w:tcPr>
          <w:p w14:paraId="1C92E6EF">
            <w:pPr>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其他功能</w:t>
            </w:r>
          </w:p>
        </w:tc>
        <w:tc>
          <w:tcPr>
            <w:tcW w:w="6276" w:type="dxa"/>
            <w:vAlign w:val="center"/>
          </w:tcPr>
          <w:p w14:paraId="31B7D496">
            <w:pPr>
              <w:pStyle w:val="13"/>
              <w:pageBreakBefore w:val="0"/>
              <w:numPr>
                <w:ilvl w:val="0"/>
                <w:numId w:val="0"/>
              </w:numPr>
              <w:kinsoku/>
              <w:wordWrap/>
              <w:overflowPunct/>
              <w:topLinePunct w:val="0"/>
              <w:autoSpaceDE/>
              <w:autoSpaceDN/>
              <w:bidi w:val="0"/>
              <w:adjustRightInd w:val="0"/>
              <w:snapToGrid w:val="0"/>
              <w:spacing w:line="360" w:lineRule="auto"/>
              <w:ind w:left="420" w:leftChars="0" w:hanging="420" w:firstLineChars="0"/>
              <w:textAlignment w:val="auto"/>
              <w:rPr>
                <w:rFonts w:ascii="宋体" w:hAnsi="宋体" w:eastAsia="宋体" w:cs="宋体"/>
                <w:bCs/>
                <w:color w:val="auto"/>
                <w:sz w:val="21"/>
                <w:szCs w:val="21"/>
                <w:highlight w:val="none"/>
              </w:rPr>
            </w:pPr>
            <w:r>
              <w:rPr>
                <w:rFonts w:hint="eastAsia" w:cs="宋体"/>
                <w:bCs/>
                <w:color w:val="auto"/>
                <w:kern w:val="2"/>
                <w:sz w:val="21"/>
                <w:szCs w:val="21"/>
                <w:lang w:val="en-US" w:eastAsia="zh-CN" w:bidi="ar-SA"/>
              </w:rPr>
              <w:t>15</w:t>
            </w:r>
            <w:r>
              <w:rPr>
                <w:rFonts w:hint="eastAsia" w:ascii="宋体" w:hAnsi="宋体" w:eastAsia="宋体" w:cs="宋体"/>
                <w:bCs/>
                <w:color w:val="auto"/>
                <w:kern w:val="2"/>
                <w:sz w:val="21"/>
                <w:szCs w:val="21"/>
                <w:lang w:val="en-US" w:eastAsia="zh-CN" w:bidi="ar-SA"/>
              </w:rPr>
              <w:t>.1</w:t>
            </w:r>
            <w:r>
              <w:rPr>
                <w:rFonts w:hint="eastAsia" w:ascii="宋体" w:hAnsi="宋体" w:eastAsia="宋体" w:cs="宋体"/>
                <w:bCs/>
                <w:color w:val="auto"/>
                <w:sz w:val="21"/>
                <w:szCs w:val="21"/>
                <w:highlight w:val="none"/>
              </w:rPr>
              <w:t>系统应支持分类浏览、关键词检索，可通过适应症、禁忌症、不良反应、全文检索等方式检索，支持名称及拼音简码检索，支持单数据库检索及多数据库检索。</w:t>
            </w:r>
          </w:p>
          <w:p w14:paraId="118CCE0C">
            <w:pPr>
              <w:pStyle w:val="13"/>
              <w:pageBreakBefore w:val="0"/>
              <w:numPr>
                <w:ilvl w:val="0"/>
                <w:numId w:val="0"/>
              </w:numPr>
              <w:kinsoku/>
              <w:wordWrap/>
              <w:overflowPunct/>
              <w:topLinePunct w:val="0"/>
              <w:autoSpaceDE/>
              <w:autoSpaceDN/>
              <w:bidi w:val="0"/>
              <w:adjustRightInd w:val="0"/>
              <w:snapToGrid w:val="0"/>
              <w:spacing w:line="360" w:lineRule="auto"/>
              <w:ind w:left="420" w:leftChars="0" w:hanging="420" w:firstLineChars="0"/>
              <w:textAlignment w:val="auto"/>
              <w:rPr>
                <w:rFonts w:ascii="宋体" w:hAnsi="宋体" w:eastAsia="宋体" w:cs="宋体"/>
                <w:bCs/>
                <w:color w:val="auto"/>
                <w:sz w:val="21"/>
                <w:szCs w:val="21"/>
                <w:highlight w:val="none"/>
              </w:rPr>
            </w:pPr>
            <w:r>
              <w:rPr>
                <w:rFonts w:hint="eastAsia" w:cs="宋体"/>
                <w:bCs/>
                <w:color w:val="auto"/>
                <w:kern w:val="2"/>
                <w:sz w:val="21"/>
                <w:szCs w:val="21"/>
                <w:lang w:val="en-US" w:eastAsia="zh-CN" w:bidi="ar-SA"/>
              </w:rPr>
              <w:t>15</w:t>
            </w:r>
            <w:r>
              <w:rPr>
                <w:rFonts w:hint="eastAsia" w:ascii="宋体" w:hAnsi="宋体" w:eastAsia="宋体" w:cs="宋体"/>
                <w:bCs/>
                <w:color w:val="auto"/>
                <w:kern w:val="2"/>
                <w:sz w:val="21"/>
                <w:szCs w:val="21"/>
                <w:lang w:val="en-US" w:eastAsia="zh-CN" w:bidi="ar-SA"/>
              </w:rPr>
              <w:t>.2</w:t>
            </w:r>
            <w:r>
              <w:rPr>
                <w:rFonts w:hint="eastAsia" w:ascii="宋体" w:hAnsi="宋体" w:eastAsia="宋体" w:cs="宋体"/>
                <w:bCs/>
                <w:color w:val="auto"/>
                <w:sz w:val="21"/>
                <w:szCs w:val="21"/>
                <w:highlight w:val="none"/>
              </w:rPr>
              <w:t>系统应支持对药物信息进行比较。</w:t>
            </w:r>
          </w:p>
          <w:p w14:paraId="656102C8">
            <w:pPr>
              <w:pStyle w:val="13"/>
              <w:pageBreakBefore w:val="0"/>
              <w:numPr>
                <w:ilvl w:val="0"/>
                <w:numId w:val="0"/>
              </w:numPr>
              <w:kinsoku/>
              <w:wordWrap/>
              <w:overflowPunct/>
              <w:topLinePunct w:val="0"/>
              <w:autoSpaceDE/>
              <w:autoSpaceDN/>
              <w:bidi w:val="0"/>
              <w:adjustRightInd w:val="0"/>
              <w:snapToGrid w:val="0"/>
              <w:spacing w:line="360" w:lineRule="auto"/>
              <w:ind w:left="420" w:leftChars="0" w:hanging="420" w:firstLineChars="0"/>
              <w:textAlignment w:val="auto"/>
              <w:rPr>
                <w:rFonts w:ascii="宋体" w:hAnsi="宋体" w:eastAsia="宋体" w:cs="宋体"/>
                <w:bCs/>
                <w:color w:val="auto"/>
                <w:sz w:val="21"/>
                <w:szCs w:val="21"/>
                <w:highlight w:val="none"/>
              </w:rPr>
            </w:pPr>
            <w:r>
              <w:rPr>
                <w:rFonts w:hint="eastAsia" w:cs="宋体"/>
                <w:bCs/>
                <w:color w:val="auto"/>
                <w:kern w:val="2"/>
                <w:sz w:val="21"/>
                <w:szCs w:val="21"/>
                <w:lang w:val="en-US" w:eastAsia="zh-CN" w:bidi="ar-SA"/>
              </w:rPr>
              <w:t>15</w:t>
            </w:r>
            <w:r>
              <w:rPr>
                <w:rFonts w:hint="eastAsia" w:ascii="宋体" w:hAnsi="宋体" w:eastAsia="宋体" w:cs="宋体"/>
                <w:bCs/>
                <w:color w:val="auto"/>
                <w:kern w:val="2"/>
                <w:sz w:val="21"/>
                <w:szCs w:val="21"/>
                <w:lang w:val="en-US" w:eastAsia="zh-CN" w:bidi="ar-SA"/>
              </w:rPr>
              <w:t>.3</w:t>
            </w:r>
            <w:r>
              <w:rPr>
                <w:rFonts w:hint="eastAsia" w:ascii="宋体" w:hAnsi="宋体" w:eastAsia="宋体" w:cs="宋体"/>
                <w:bCs/>
                <w:color w:val="auto"/>
                <w:sz w:val="21"/>
                <w:szCs w:val="21"/>
                <w:highlight w:val="none"/>
              </w:rPr>
              <w:t>系统应支持数据库之间相互关联和快速跳转。</w:t>
            </w:r>
          </w:p>
          <w:p w14:paraId="75C70074">
            <w:pPr>
              <w:pStyle w:val="13"/>
              <w:pageBreakBefore w:val="0"/>
              <w:numPr>
                <w:ilvl w:val="0"/>
                <w:numId w:val="0"/>
              </w:numPr>
              <w:kinsoku/>
              <w:wordWrap/>
              <w:overflowPunct/>
              <w:topLinePunct w:val="0"/>
              <w:autoSpaceDE/>
              <w:autoSpaceDN/>
              <w:bidi w:val="0"/>
              <w:adjustRightInd w:val="0"/>
              <w:snapToGrid w:val="0"/>
              <w:spacing w:line="360" w:lineRule="auto"/>
              <w:ind w:left="420" w:leftChars="0" w:hanging="420" w:firstLineChars="0"/>
              <w:textAlignment w:val="auto"/>
              <w:rPr>
                <w:rFonts w:ascii="宋体" w:hAnsi="宋体" w:eastAsia="宋体" w:cs="宋体"/>
                <w:bCs/>
                <w:color w:val="auto"/>
                <w:sz w:val="21"/>
                <w:szCs w:val="21"/>
                <w:highlight w:val="none"/>
              </w:rPr>
            </w:pPr>
            <w:r>
              <w:rPr>
                <w:rFonts w:hint="eastAsia" w:cs="宋体"/>
                <w:bCs/>
                <w:color w:val="auto"/>
                <w:kern w:val="2"/>
                <w:sz w:val="21"/>
                <w:szCs w:val="21"/>
                <w:lang w:val="en-US" w:eastAsia="zh-CN" w:bidi="ar-SA"/>
              </w:rPr>
              <w:t>15</w:t>
            </w:r>
            <w:r>
              <w:rPr>
                <w:rFonts w:hint="eastAsia" w:ascii="宋体" w:hAnsi="宋体" w:eastAsia="宋体" w:cs="宋体"/>
                <w:bCs/>
                <w:color w:val="auto"/>
                <w:kern w:val="2"/>
                <w:sz w:val="21"/>
                <w:szCs w:val="21"/>
                <w:lang w:val="en-US" w:eastAsia="zh-CN" w:bidi="ar-SA"/>
              </w:rPr>
              <w:t>.4</w:t>
            </w:r>
            <w:r>
              <w:rPr>
                <w:rFonts w:hint="eastAsia" w:ascii="宋体" w:hAnsi="宋体" w:eastAsia="宋体" w:cs="宋体"/>
                <w:bCs/>
                <w:color w:val="auto"/>
                <w:sz w:val="21"/>
                <w:szCs w:val="21"/>
                <w:highlight w:val="none"/>
              </w:rPr>
              <w:t>支持手机APP在线访问。</w:t>
            </w:r>
          </w:p>
          <w:p w14:paraId="2DA26B8A">
            <w:pPr>
              <w:pStyle w:val="13"/>
              <w:pageBreakBefore w:val="0"/>
              <w:numPr>
                <w:ilvl w:val="0"/>
                <w:numId w:val="0"/>
              </w:numPr>
              <w:kinsoku/>
              <w:wordWrap/>
              <w:overflowPunct/>
              <w:topLinePunct w:val="0"/>
              <w:autoSpaceDE/>
              <w:autoSpaceDN/>
              <w:bidi w:val="0"/>
              <w:adjustRightInd w:val="0"/>
              <w:snapToGrid w:val="0"/>
              <w:spacing w:line="360" w:lineRule="auto"/>
              <w:ind w:left="420" w:leftChars="0" w:hanging="420" w:firstLineChars="0"/>
              <w:textAlignment w:val="auto"/>
              <w:rPr>
                <w:rFonts w:ascii="宋体" w:hAnsi="宋体" w:eastAsia="宋体" w:cs="宋体"/>
                <w:bCs/>
                <w:color w:val="auto"/>
                <w:sz w:val="21"/>
                <w:szCs w:val="21"/>
                <w:highlight w:val="none"/>
              </w:rPr>
            </w:pPr>
            <w:r>
              <w:rPr>
                <w:rFonts w:hint="eastAsia" w:cs="宋体"/>
                <w:bCs/>
                <w:color w:val="auto"/>
                <w:kern w:val="2"/>
                <w:sz w:val="21"/>
                <w:szCs w:val="21"/>
                <w:lang w:val="en-US" w:eastAsia="zh-CN" w:bidi="ar-SA"/>
              </w:rPr>
              <w:t>15</w:t>
            </w:r>
            <w:r>
              <w:rPr>
                <w:rFonts w:hint="eastAsia" w:ascii="宋体" w:hAnsi="宋体" w:eastAsia="宋体" w:cs="宋体"/>
                <w:bCs/>
                <w:color w:val="auto"/>
                <w:kern w:val="2"/>
                <w:sz w:val="21"/>
                <w:szCs w:val="21"/>
                <w:lang w:val="en-US" w:eastAsia="zh-CN" w:bidi="ar-SA"/>
              </w:rPr>
              <w:t>.5</w:t>
            </w:r>
            <w:r>
              <w:rPr>
                <w:rFonts w:hint="eastAsia" w:ascii="宋体" w:hAnsi="宋体" w:eastAsia="宋体" w:cs="宋体"/>
                <w:bCs/>
                <w:color w:val="auto"/>
                <w:sz w:val="21"/>
                <w:szCs w:val="21"/>
                <w:highlight w:val="none"/>
              </w:rPr>
              <w:t>定期更新，更新频率应不少于10次/年。</w:t>
            </w:r>
          </w:p>
        </w:tc>
      </w:tr>
      <w:tr w14:paraId="359E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4E96852F">
            <w:pPr>
              <w:pStyle w:val="13"/>
              <w:pageBreakBefore w:val="0"/>
              <w:widowControl/>
              <w:numPr>
                <w:ilvl w:val="0"/>
                <w:numId w:val="0"/>
              </w:numPr>
              <w:kinsoku/>
              <w:wordWrap/>
              <w:overflowPunct/>
              <w:topLinePunct w:val="0"/>
              <w:autoSpaceDE/>
              <w:autoSpaceDN/>
              <w:bidi w:val="0"/>
              <w:adjustRightInd w:val="0"/>
              <w:snapToGrid w:val="0"/>
              <w:spacing w:line="360" w:lineRule="auto"/>
              <w:ind w:leftChars="0"/>
              <w:jc w:val="both"/>
              <w:textAlignment w:val="auto"/>
              <w:rPr>
                <w:rFonts w:hint="eastAsia" w:ascii="宋体" w:hAnsi="宋体" w:eastAsia="宋体" w:cs="宋体"/>
                <w:bCs/>
                <w:color w:val="auto"/>
                <w:sz w:val="21"/>
                <w:szCs w:val="21"/>
                <w:highlight w:val="none"/>
                <w:lang w:eastAsia="zh-CN"/>
              </w:rPr>
            </w:pPr>
            <w:r>
              <w:rPr>
                <w:rFonts w:hint="eastAsia" w:cs="宋体"/>
                <w:bCs/>
                <w:color w:val="auto"/>
                <w:sz w:val="21"/>
                <w:szCs w:val="21"/>
                <w:highlight w:val="none"/>
                <w:lang w:eastAsia="zh-CN"/>
              </w:rPr>
              <w:t>（六）</w:t>
            </w:r>
          </w:p>
        </w:tc>
        <w:tc>
          <w:tcPr>
            <w:tcW w:w="1286" w:type="dxa"/>
            <w:vAlign w:val="center"/>
          </w:tcPr>
          <w:p w14:paraId="6E9BC36D">
            <w:pPr>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r>
              <w:rPr>
                <w:rFonts w:hint="eastAsia"/>
                <w:lang w:val="en-US" w:eastAsia="zh-CN"/>
              </w:rPr>
              <w:t>医共体内医疗机构接口</w:t>
            </w:r>
          </w:p>
        </w:tc>
        <w:tc>
          <w:tcPr>
            <w:tcW w:w="6276" w:type="dxa"/>
            <w:vAlign w:val="top"/>
          </w:tcPr>
          <w:p w14:paraId="4FFDDF02">
            <w:pPr>
              <w:pStyle w:val="13"/>
              <w:pageBreakBefore w:val="0"/>
              <w:numPr>
                <w:ilvl w:val="0"/>
                <w:numId w:val="25"/>
              </w:numPr>
              <w:kinsoku/>
              <w:wordWrap/>
              <w:overflowPunct/>
              <w:topLinePunct w:val="0"/>
              <w:autoSpaceDE/>
              <w:autoSpaceDN/>
              <w:bidi w:val="0"/>
              <w:adjustRightInd w:val="0"/>
              <w:snapToGrid w:val="0"/>
              <w:spacing w:line="360" w:lineRule="auto"/>
              <w:jc w:val="both"/>
              <w:textAlignment w:val="auto"/>
              <w:rPr>
                <w:rFonts w:hint="eastAsia" w:cs="宋体"/>
                <w:bCs/>
                <w:color w:val="auto"/>
                <w:kern w:val="2"/>
                <w:sz w:val="21"/>
                <w:szCs w:val="21"/>
                <w:lang w:val="en-US" w:eastAsia="zh-CN" w:bidi="ar-SA"/>
              </w:rPr>
            </w:pPr>
            <w:r>
              <w:rPr>
                <w:rFonts w:hint="eastAsia" w:cs="宋体"/>
                <w:bCs/>
                <w:color w:val="auto"/>
                <w:kern w:val="2"/>
                <w:sz w:val="21"/>
                <w:szCs w:val="21"/>
                <w:lang w:val="en-US" w:eastAsia="zh-CN" w:bidi="ar-SA"/>
              </w:rPr>
              <w:t>县直医疗机构2家</w:t>
            </w:r>
          </w:p>
          <w:p w14:paraId="21FAFC56">
            <w:pPr>
              <w:pStyle w:val="13"/>
              <w:pageBreakBefore w:val="0"/>
              <w:numPr>
                <w:ilvl w:val="0"/>
                <w:numId w:val="25"/>
              </w:numPr>
              <w:kinsoku/>
              <w:wordWrap/>
              <w:overflowPunct/>
              <w:topLinePunct w:val="0"/>
              <w:autoSpaceDE/>
              <w:autoSpaceDN/>
              <w:bidi w:val="0"/>
              <w:adjustRightInd w:val="0"/>
              <w:snapToGrid w:val="0"/>
              <w:spacing w:line="360" w:lineRule="auto"/>
              <w:jc w:val="both"/>
              <w:textAlignment w:val="auto"/>
              <w:rPr>
                <w:rFonts w:hint="eastAsia" w:cs="宋体"/>
                <w:bCs/>
                <w:color w:val="auto"/>
                <w:kern w:val="2"/>
                <w:sz w:val="21"/>
                <w:szCs w:val="21"/>
                <w:lang w:val="en-US" w:eastAsia="zh-CN" w:bidi="ar-SA"/>
              </w:rPr>
            </w:pPr>
            <w:r>
              <w:rPr>
                <w:rFonts w:hint="eastAsia" w:cs="宋体"/>
                <w:bCs/>
                <w:color w:val="auto"/>
                <w:kern w:val="2"/>
                <w:sz w:val="21"/>
                <w:szCs w:val="21"/>
                <w:lang w:val="en-US" w:eastAsia="zh-CN" w:bidi="ar-SA"/>
              </w:rPr>
              <w:t>县直其它医疗机构及乡镇卫生院16家</w:t>
            </w:r>
          </w:p>
          <w:p w14:paraId="158F29DA">
            <w:pPr>
              <w:pStyle w:val="13"/>
              <w:pageBreakBefore w:val="0"/>
              <w:numPr>
                <w:ilvl w:val="0"/>
                <w:numId w:val="25"/>
              </w:numPr>
              <w:kinsoku/>
              <w:wordWrap/>
              <w:overflowPunct/>
              <w:topLinePunct w:val="0"/>
              <w:autoSpaceDE/>
              <w:autoSpaceDN/>
              <w:bidi w:val="0"/>
              <w:adjustRightInd w:val="0"/>
              <w:snapToGrid w:val="0"/>
              <w:spacing w:line="360" w:lineRule="auto"/>
              <w:jc w:val="both"/>
              <w:textAlignment w:val="auto"/>
              <w:rPr>
                <w:rFonts w:hint="eastAsia" w:cs="宋体"/>
                <w:bCs/>
                <w:color w:val="auto"/>
                <w:kern w:val="2"/>
                <w:sz w:val="21"/>
                <w:szCs w:val="21"/>
                <w:lang w:val="en-US" w:eastAsia="zh-CN" w:bidi="ar-SA"/>
              </w:rPr>
            </w:pPr>
            <w:r>
              <w:rPr>
                <w:rFonts w:hint="eastAsia" w:cs="宋体"/>
                <w:bCs/>
                <w:color w:val="auto"/>
                <w:kern w:val="2"/>
                <w:sz w:val="21"/>
                <w:szCs w:val="21"/>
                <w:lang w:val="en-US" w:eastAsia="zh-CN" w:bidi="ar-SA"/>
              </w:rPr>
              <w:t>全县所有村卫生室</w:t>
            </w:r>
          </w:p>
        </w:tc>
      </w:tr>
    </w:tbl>
    <w:p w14:paraId="3C5985BC">
      <w:pPr>
        <w:rPr>
          <w:rFonts w:hint="eastAsia"/>
          <w:lang w:eastAsia="zh-CN"/>
        </w:rPr>
      </w:pPr>
    </w:p>
    <w:p w14:paraId="0A10AF4F">
      <w:pPr>
        <w:rPr>
          <w:rFonts w:hint="eastAsia"/>
          <w:lang w:eastAsia="zh-CN"/>
        </w:rPr>
      </w:pPr>
    </w:p>
    <w:p w14:paraId="719E7A49">
      <w:pPr>
        <w:ind w:firstLine="480" w:firstLineChars="200"/>
        <w:rPr>
          <w:rFonts w:hint="eastAsia"/>
          <w:lang w:eastAsia="zh-CN"/>
        </w:rPr>
      </w:pPr>
      <w:r>
        <w:rPr>
          <w:rFonts w:hint="eastAsia"/>
          <w:lang w:eastAsia="zh-CN"/>
        </w:rPr>
        <w:t>（七）硬件配置</w:t>
      </w:r>
    </w:p>
    <w:tbl>
      <w:tblPr>
        <w:tblStyle w:val="6"/>
        <w:tblpPr w:leftFromText="180" w:rightFromText="180" w:vertAnchor="text" w:horzAnchor="page" w:tblpX="1913" w:tblpY="571"/>
        <w:tblOverlap w:val="never"/>
        <w:tblW w:w="82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5"/>
        <w:gridCol w:w="1487"/>
        <w:gridCol w:w="5656"/>
        <w:gridCol w:w="735"/>
      </w:tblGrid>
      <w:tr w14:paraId="556FF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85" w:type="dxa"/>
            <w:vMerge w:val="restart"/>
            <w:tcBorders>
              <w:top w:val="single" w:color="000000" w:sz="4" w:space="0"/>
              <w:left w:val="single" w:color="000000" w:sz="4" w:space="0"/>
              <w:bottom w:val="single" w:color="000000" w:sz="4" w:space="0"/>
              <w:right w:val="single" w:color="000000" w:sz="4" w:space="0"/>
            </w:tcBorders>
            <w:shd w:val="clear" w:color="auto" w:fill="969696"/>
            <w:vAlign w:val="center"/>
          </w:tcPr>
          <w:p w14:paraId="4A43F420">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969696"/>
            <w:vAlign w:val="center"/>
          </w:tcPr>
          <w:p w14:paraId="7F63542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产品名称</w:t>
            </w:r>
          </w:p>
        </w:tc>
        <w:tc>
          <w:tcPr>
            <w:tcW w:w="5656" w:type="dxa"/>
            <w:vMerge w:val="restart"/>
            <w:tcBorders>
              <w:top w:val="single" w:color="000000" w:sz="4" w:space="0"/>
              <w:left w:val="single" w:color="000000" w:sz="4" w:space="0"/>
              <w:bottom w:val="single" w:color="000000" w:sz="4" w:space="0"/>
              <w:right w:val="single" w:color="000000" w:sz="4" w:space="0"/>
            </w:tcBorders>
            <w:shd w:val="clear" w:color="auto" w:fill="969696"/>
            <w:vAlign w:val="center"/>
          </w:tcPr>
          <w:p w14:paraId="2FEDF14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描述</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969696"/>
            <w:vAlign w:val="center"/>
          </w:tcPr>
          <w:p w14:paraId="57D4BC3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r>
      <w:tr w14:paraId="67E0A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85" w:type="dxa"/>
            <w:vMerge w:val="continue"/>
            <w:tcBorders>
              <w:top w:val="single" w:color="000000" w:sz="4" w:space="0"/>
              <w:left w:val="single" w:color="000000" w:sz="4" w:space="0"/>
              <w:bottom w:val="single" w:color="000000" w:sz="4" w:space="0"/>
              <w:right w:val="single" w:color="000000" w:sz="4" w:space="0"/>
            </w:tcBorders>
            <w:shd w:val="clear" w:color="auto" w:fill="969696"/>
            <w:vAlign w:val="center"/>
          </w:tcPr>
          <w:p w14:paraId="4EF297D9">
            <w:pPr>
              <w:jc w:val="center"/>
              <w:rPr>
                <w:rFonts w:hint="eastAsia" w:ascii="微软雅黑" w:hAnsi="微软雅黑" w:eastAsia="微软雅黑" w:cs="微软雅黑"/>
                <w:b/>
                <w:bCs/>
                <w:i w:val="0"/>
                <w:iCs w:val="0"/>
                <w:color w:val="000000"/>
                <w:sz w:val="20"/>
                <w:szCs w:val="20"/>
                <w:u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969696"/>
            <w:vAlign w:val="center"/>
          </w:tcPr>
          <w:p w14:paraId="38F3A35C">
            <w:pPr>
              <w:jc w:val="center"/>
              <w:rPr>
                <w:rFonts w:hint="eastAsia" w:ascii="微软雅黑" w:hAnsi="微软雅黑" w:eastAsia="微软雅黑" w:cs="微软雅黑"/>
                <w:b/>
                <w:bCs/>
                <w:i w:val="0"/>
                <w:iCs w:val="0"/>
                <w:color w:val="000000"/>
                <w:sz w:val="20"/>
                <w:szCs w:val="20"/>
                <w:u w:val="none"/>
              </w:rPr>
            </w:pPr>
          </w:p>
        </w:tc>
        <w:tc>
          <w:tcPr>
            <w:tcW w:w="5656" w:type="dxa"/>
            <w:vMerge w:val="continue"/>
            <w:tcBorders>
              <w:top w:val="single" w:color="000000" w:sz="4" w:space="0"/>
              <w:left w:val="single" w:color="000000" w:sz="4" w:space="0"/>
              <w:bottom w:val="single" w:color="000000" w:sz="4" w:space="0"/>
              <w:right w:val="single" w:color="000000" w:sz="4" w:space="0"/>
            </w:tcBorders>
            <w:shd w:val="clear" w:color="auto" w:fill="969696"/>
            <w:vAlign w:val="center"/>
          </w:tcPr>
          <w:p w14:paraId="4641E2BA">
            <w:pPr>
              <w:jc w:val="center"/>
              <w:rPr>
                <w:rFonts w:hint="eastAsia" w:ascii="微软雅黑" w:hAnsi="微软雅黑" w:eastAsia="微软雅黑" w:cs="微软雅黑"/>
                <w:b/>
                <w:bCs/>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969696"/>
            <w:vAlign w:val="center"/>
          </w:tcPr>
          <w:p w14:paraId="2C7F636D">
            <w:pPr>
              <w:jc w:val="center"/>
              <w:rPr>
                <w:rFonts w:hint="eastAsia" w:ascii="微软雅黑" w:hAnsi="微软雅黑" w:eastAsia="微软雅黑" w:cs="微软雅黑"/>
                <w:b/>
                <w:bCs/>
                <w:i w:val="0"/>
                <w:iCs w:val="0"/>
                <w:color w:val="000000"/>
                <w:sz w:val="20"/>
                <w:szCs w:val="20"/>
                <w:u w:val="none"/>
              </w:rPr>
            </w:pPr>
          </w:p>
        </w:tc>
      </w:tr>
      <w:tr w14:paraId="354A3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0"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912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1</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81E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服务器</w:t>
            </w:r>
          </w:p>
        </w:tc>
        <w:tc>
          <w:tcPr>
            <w:tcW w:w="56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F34E0F">
            <w:pPr>
              <w:keepNext w:val="0"/>
              <w:keepLines w:val="0"/>
              <w:widowControl/>
              <w:suppressLineNumbers w:val="0"/>
              <w:jc w:val="left"/>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 * 5318Y(2.1GHz/24核/36MB/165W)CPU模块;</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8 * 32GB 2Rx4 DDR4-3200RDIMM 内存模块;</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12LFF支持4NVMe硬盘背板模块;</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 * 8TB 6G SATA 7.2K 3.5in EV 通用硬盘模块;</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 * 480GB 6Gb/s SATA 3.5in SSD 通用硬盘模块;</w:t>
            </w:r>
            <w:r>
              <w:rPr>
                <w:rFonts w:hint="eastAsia" w:ascii="微软雅黑" w:hAnsi="微软雅黑" w:eastAsia="微软雅黑" w:cs="微软雅黑"/>
                <w:i w:val="0"/>
                <w:iCs w:val="0"/>
                <w:color w:val="000000"/>
                <w:kern w:val="0"/>
                <w:sz w:val="20"/>
                <w:szCs w:val="20"/>
                <w:u w:val="none"/>
                <w:lang w:val="en-US" w:eastAsia="zh-CN" w:bidi="ar"/>
              </w:rPr>
              <w:br w:type="textWrapping"/>
            </w:r>
            <w:r>
              <w:rPr>
                <w:rStyle w:val="14"/>
                <w:color w:val="auto"/>
                <w:sz w:val="20"/>
                <w:szCs w:val="20"/>
                <w:lang w:val="en-US" w:eastAsia="zh-CN" w:bidi="ar"/>
              </w:rPr>
              <w:t>2 * 1.92TB  PCIe*Gen4 X4 NVMe U.2 3.5inSSD 通用硬盘模块;</w:t>
            </w:r>
            <w:r>
              <w:rPr>
                <w:rStyle w:val="15"/>
                <w:color w:val="auto"/>
                <w:sz w:val="20"/>
                <w:szCs w:val="20"/>
                <w:lang w:val="en-US" w:eastAsia="zh-CN" w:bidi="ar"/>
              </w:rPr>
              <w:br w:type="textWrapping"/>
            </w:r>
            <w:r>
              <w:rPr>
                <w:rStyle w:val="15"/>
                <w:color w:val="auto"/>
                <w:sz w:val="20"/>
                <w:szCs w:val="20"/>
                <w:lang w:val="en-US" w:eastAsia="zh-CN" w:bidi="ar"/>
              </w:rPr>
              <w:t>12G SAS RAID卡模块(支持8个SAS Port,带2GB缓存;</w:t>
            </w:r>
            <w:r>
              <w:rPr>
                <w:rStyle w:val="15"/>
                <w:color w:val="auto"/>
                <w:sz w:val="20"/>
                <w:szCs w:val="20"/>
                <w:lang w:val="en-US" w:eastAsia="zh-CN" w:bidi="ar"/>
              </w:rPr>
              <w:br w:type="textWrapping"/>
            </w:r>
            <w:r>
              <w:rPr>
                <w:rStyle w:val="14"/>
                <w:color w:val="auto"/>
                <w:sz w:val="20"/>
                <w:szCs w:val="20"/>
                <w:lang w:val="en-US" w:eastAsia="zh-CN" w:bidi="ar"/>
              </w:rPr>
              <w:t>2*2端口万兆光接口网卡(SFP+);</w:t>
            </w:r>
            <w:r>
              <w:rPr>
                <w:rStyle w:val="15"/>
                <w:color w:val="auto"/>
                <w:sz w:val="20"/>
                <w:szCs w:val="20"/>
                <w:lang w:val="en-US" w:eastAsia="zh-CN" w:bidi="ar"/>
              </w:rPr>
              <w:br w:type="textWrapping"/>
            </w:r>
            <w:r>
              <w:rPr>
                <w:rStyle w:val="15"/>
                <w:sz w:val="20"/>
                <w:szCs w:val="20"/>
                <w:lang w:val="en-US" w:eastAsia="zh-CN" w:bidi="ar"/>
              </w:rPr>
              <w:t>超级电容模块;</w:t>
            </w:r>
            <w:r>
              <w:rPr>
                <w:rStyle w:val="15"/>
                <w:sz w:val="20"/>
                <w:szCs w:val="20"/>
                <w:lang w:val="en-US" w:eastAsia="zh-CN" w:bidi="ar"/>
              </w:rPr>
              <w:br w:type="textWrapping"/>
            </w:r>
            <w:r>
              <w:rPr>
                <w:rStyle w:val="15"/>
                <w:sz w:val="20"/>
                <w:szCs w:val="20"/>
                <w:lang w:val="en-US" w:eastAsia="zh-CN" w:bidi="ar"/>
              </w:rPr>
              <w:t>4端口1Gb/s PCIe2.0 x4 电接口OCP3.0以太网卡;</w:t>
            </w:r>
            <w:r>
              <w:rPr>
                <w:rStyle w:val="15"/>
                <w:sz w:val="20"/>
                <w:szCs w:val="20"/>
                <w:lang w:val="en-US" w:eastAsia="zh-CN" w:bidi="ar"/>
              </w:rPr>
              <w:br w:type="textWrapping"/>
            </w:r>
            <w:r>
              <w:rPr>
                <w:rStyle w:val="15"/>
                <w:sz w:val="20"/>
                <w:szCs w:val="20"/>
                <w:lang w:val="en-US" w:eastAsia="zh-CN" w:bidi="ar"/>
              </w:rPr>
              <w:t>2 * 800W交流&amp;240V高压直流电源模块;</w:t>
            </w:r>
            <w:r>
              <w:rPr>
                <w:rStyle w:val="15"/>
                <w:sz w:val="20"/>
                <w:szCs w:val="20"/>
                <w:lang w:val="en-US" w:eastAsia="zh-CN" w:bidi="ar"/>
              </w:rPr>
              <w:br w:type="textWrapping"/>
            </w:r>
            <w:r>
              <w:rPr>
                <w:rStyle w:val="15"/>
                <w:sz w:val="20"/>
                <w:szCs w:val="20"/>
                <w:lang w:val="en-US" w:eastAsia="zh-CN" w:bidi="ar"/>
              </w:rPr>
              <w:t>6 * 风扇模块;</w:t>
            </w:r>
            <w:r>
              <w:rPr>
                <w:rStyle w:val="15"/>
                <w:sz w:val="20"/>
                <w:szCs w:val="20"/>
                <w:lang w:val="en-US" w:eastAsia="zh-CN" w:bidi="ar"/>
              </w:rPr>
              <w:br w:type="textWrapping"/>
            </w:r>
            <w:r>
              <w:rPr>
                <w:rStyle w:val="15"/>
                <w:sz w:val="20"/>
                <w:szCs w:val="20"/>
                <w:lang w:val="en-US" w:eastAsia="zh-CN" w:bidi="ar"/>
              </w:rPr>
              <w:t>2 * 2U热管散热器-ICX/CPX CPU;</w:t>
            </w:r>
            <w:r>
              <w:rPr>
                <w:rStyle w:val="15"/>
                <w:sz w:val="20"/>
                <w:szCs w:val="20"/>
                <w:lang w:val="en-US" w:eastAsia="zh-CN" w:bidi="ar"/>
              </w:rPr>
              <w:br w:type="textWrapping"/>
            </w:r>
            <w:r>
              <w:rPr>
                <w:rStyle w:val="15"/>
                <w:sz w:val="20"/>
                <w:szCs w:val="20"/>
                <w:lang w:val="en-US" w:eastAsia="zh-CN" w:bidi="ar"/>
              </w:rPr>
              <w:t>2U/1U标准滑轨(CTO&amp;BTO);</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A0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14:paraId="024A4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E46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2</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81F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超融合软件</w:t>
            </w:r>
          </w:p>
        </w:tc>
        <w:tc>
          <w:tcPr>
            <w:tcW w:w="56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DF6DF6">
            <w:pPr>
              <w:keepNext w:val="0"/>
              <w:keepLines w:val="0"/>
              <w:widowControl/>
              <w:suppressLineNumbers w:val="0"/>
              <w:jc w:val="left"/>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 * 超融合管理软件-管理1个物理CPU;</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8 * 计算虚拟化软件-管理1个物理CPU;</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8* 存储虚拟化软件-块存储-管理1个物理CPU;</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 * 超融合一体机安装部署服务;</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软件技术支持服务(三年)</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41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44B20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9BC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3</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C09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防火墙</w:t>
            </w:r>
          </w:p>
        </w:tc>
        <w:tc>
          <w:tcPr>
            <w:tcW w:w="56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FE41D9">
            <w:pPr>
              <w:keepNext w:val="0"/>
              <w:keepLines w:val="0"/>
              <w:widowControl/>
              <w:suppressLineNumbers w:val="0"/>
              <w:jc w:val="left"/>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2MGMT+18GE+8Combo+4Bypass+2SFP+ +2USB, 选配480G M.2硬盘，自带单电源。支持5G带宽，推荐带机量：3000人。，IPSec VPN隧道数：750。配置专用IPS、AV、URL特征库，特征库支持在线实时更新三年。100点 SSL VPN并发用户授权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4C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2E1E1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4CB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4</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6E0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汇聚交换机</w:t>
            </w:r>
          </w:p>
        </w:tc>
        <w:tc>
          <w:tcPr>
            <w:tcW w:w="56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675577">
            <w:pPr>
              <w:keepNext w:val="0"/>
              <w:keepLines w:val="0"/>
              <w:widowControl/>
              <w:suppressLineNumbers w:val="0"/>
              <w:jc w:val="left"/>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 性能：交换容量≥2.56Tbps， 转发率≥340Mpps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  表项：MAC地址表≥32K，路由表容量≥16K，ARP≥16K</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 接口：≥8千兆电+22万兆光+1USB</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 支持最大9台设备虚拟化；最大堆叠带宽≥160G</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5. 支持OPENFLOW 1.3标准支持普通模式和Openflow 模式切换，支持多控制器（EQUAL模式、主备模式）</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6. 支持IPv4静态路由、RIP V1/V2、OSPF、BGP、ISIS；支持IPv6静态路由、RIPng、OSPFv3、BGP4+，支持IPv4和IPv6环境下的策略路由</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7. 支持VRRPv2/v3（虚拟路由冗余协议)；支持RRPP（快速环网保护协议），环网故障恢复时间不超过200ms；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8. 支持OAM(802.1AG， 802.3AH)以太网运行、维护和管理标准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F6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21DD8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0F685A">
            <w:pPr>
              <w:keepNext w:val="0"/>
              <w:keepLines w:val="0"/>
              <w:widowControl/>
              <w:suppressLineNumbers w:val="0"/>
              <w:jc w:val="left"/>
              <w:textAlignment w:val="bottom"/>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5</w:t>
            </w:r>
          </w:p>
        </w:tc>
        <w:tc>
          <w:tcPr>
            <w:tcW w:w="14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DDF0E6">
            <w:pPr>
              <w:keepNext w:val="0"/>
              <w:keepLines w:val="0"/>
              <w:widowControl/>
              <w:suppressLineNumbers w:val="0"/>
              <w:jc w:val="left"/>
              <w:textAlignment w:val="bottom"/>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卫生专线</w:t>
            </w:r>
          </w:p>
        </w:tc>
        <w:tc>
          <w:tcPr>
            <w:tcW w:w="56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bottom"/>
          </w:tcPr>
          <w:p w14:paraId="556966F1">
            <w:pPr>
              <w:keepNext w:val="0"/>
              <w:keepLines w:val="0"/>
              <w:widowControl/>
              <w:suppressLineNumbers w:val="0"/>
              <w:jc w:val="left"/>
              <w:textAlignment w:val="bottom"/>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带宽200M</w:t>
            </w:r>
          </w:p>
        </w:tc>
        <w:tc>
          <w:tcPr>
            <w:tcW w:w="7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EB8807">
            <w:pPr>
              <w:keepNext w:val="0"/>
              <w:keepLines w:val="0"/>
              <w:widowControl/>
              <w:suppressLineNumbers w:val="0"/>
              <w:jc w:val="left"/>
              <w:textAlignment w:val="bottom"/>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w:t>
            </w:r>
          </w:p>
        </w:tc>
      </w:tr>
      <w:tr w14:paraId="759E2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09956D">
            <w:pPr>
              <w:keepNext w:val="0"/>
              <w:keepLines w:val="0"/>
              <w:widowControl/>
              <w:suppressLineNumbers w:val="0"/>
              <w:jc w:val="left"/>
              <w:textAlignment w:val="bottom"/>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6</w:t>
            </w:r>
          </w:p>
        </w:tc>
        <w:tc>
          <w:tcPr>
            <w:tcW w:w="14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587E34">
            <w:pPr>
              <w:keepNext w:val="0"/>
              <w:keepLines w:val="0"/>
              <w:widowControl/>
              <w:suppressLineNumbers w:val="0"/>
              <w:jc w:val="left"/>
              <w:textAlignment w:val="bottom"/>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配套（电脑、电视大屏、打印机）</w:t>
            </w:r>
          </w:p>
        </w:tc>
        <w:tc>
          <w:tcPr>
            <w:tcW w:w="56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bottom"/>
          </w:tcPr>
          <w:p w14:paraId="307D7C6B">
            <w:pPr>
              <w:keepNext w:val="0"/>
              <w:keepLines w:val="0"/>
              <w:widowControl/>
              <w:suppressLineNumbers w:val="0"/>
              <w:jc w:val="left"/>
              <w:textAlignment w:val="bottom"/>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I5CPU，16G内存，513Gssd硬盘，24寸显示器 5台；86寸电视1台，打印机 A4激光黑白打印机 5台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8CA298">
            <w:pPr>
              <w:keepNext w:val="0"/>
              <w:keepLines w:val="0"/>
              <w:widowControl/>
              <w:suppressLineNumbers w:val="0"/>
              <w:jc w:val="left"/>
              <w:textAlignment w:val="bottom"/>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1套</w:t>
            </w:r>
          </w:p>
        </w:tc>
      </w:tr>
    </w:tbl>
    <w:p w14:paraId="7A063182">
      <w:pPr>
        <w:keepNext w:val="0"/>
        <w:keepLines w:val="0"/>
        <w:widowControl/>
        <w:suppressLineNumbers w:val="0"/>
        <w:jc w:val="left"/>
        <w:textAlignment w:val="bottom"/>
        <w:rPr>
          <w:rFonts w:hint="eastAsia" w:ascii="微软雅黑" w:hAnsi="微软雅黑" w:eastAsia="微软雅黑" w:cs="微软雅黑"/>
          <w:i w:val="0"/>
          <w:iCs w:val="0"/>
          <w:color w:val="000000"/>
          <w:kern w:val="0"/>
          <w:sz w:val="20"/>
          <w:szCs w:val="20"/>
          <w:u w:val="none"/>
          <w:lang w:val="en-US" w:eastAsia="zh-CN" w:bidi="ar"/>
        </w:rPr>
      </w:pPr>
    </w:p>
    <w:p w14:paraId="173EBEE4">
      <w:pPr>
        <w:rPr>
          <w:rFonts w:hint="eastAsia"/>
          <w:sz w:val="28"/>
          <w:szCs w:val="24"/>
          <w:lang w:eastAsia="zh-CN"/>
        </w:rPr>
      </w:pPr>
    </w:p>
    <w:p w14:paraId="7B22C855">
      <w:pPr>
        <w:rPr>
          <w:rFonts w:hint="eastAsia"/>
          <w:sz w:val="28"/>
          <w:szCs w:val="24"/>
          <w:lang w:eastAsia="zh-CN"/>
        </w:rPr>
      </w:pPr>
    </w:p>
    <w:p w14:paraId="22179BC4">
      <w:pPr>
        <w:rPr>
          <w:rFonts w:hint="eastAsia"/>
          <w:sz w:val="28"/>
          <w:szCs w:val="24"/>
          <w:lang w:eastAsia="zh-CN"/>
        </w:rPr>
      </w:pPr>
    </w:p>
    <w:p w14:paraId="6B33D111">
      <w:pPr>
        <w:rPr>
          <w:rFonts w:hint="eastAsia"/>
          <w:sz w:val="28"/>
          <w:szCs w:val="24"/>
          <w:lang w:eastAsia="zh-CN"/>
        </w:rPr>
      </w:pPr>
    </w:p>
    <w:p w14:paraId="149C5574">
      <w:pPr>
        <w:pStyle w:val="5"/>
        <w:numPr>
          <w:ilvl w:val="0"/>
          <w:numId w:val="26"/>
        </w:numPr>
        <w:spacing w:before="269" w:line="224" w:lineRule="auto"/>
        <w:ind w:left="869"/>
        <w:outlineLvl w:val="1"/>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县域医共体中心药房系统</w:t>
      </w:r>
    </w:p>
    <w:p w14:paraId="38640EBE">
      <w:pPr>
        <w:pStyle w:val="5"/>
        <w:numPr>
          <w:ilvl w:val="0"/>
          <w:numId w:val="0"/>
        </w:numPr>
        <w:spacing w:before="269" w:line="224" w:lineRule="auto"/>
        <w:outlineLvl w:val="1"/>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1.采购清单</w:t>
      </w:r>
    </w:p>
    <w:p w14:paraId="7D9ABED6">
      <w:pPr>
        <w:spacing w:line="197" w:lineRule="exact"/>
      </w:pPr>
    </w:p>
    <w:tbl>
      <w:tblPr>
        <w:tblStyle w:val="17"/>
        <w:tblW w:w="9069" w:type="dxa"/>
        <w:tblInd w:w="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7"/>
        <w:gridCol w:w="2909"/>
        <w:gridCol w:w="950"/>
        <w:gridCol w:w="1179"/>
        <w:gridCol w:w="2404"/>
        <w:gridCol w:w="710"/>
      </w:tblGrid>
      <w:tr w14:paraId="4FCB2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17" w:type="dxa"/>
            <w:shd w:val="clear" w:color="auto" w:fill="EEECE1"/>
            <w:vAlign w:val="top"/>
          </w:tcPr>
          <w:p w14:paraId="06C938B2">
            <w:pPr>
              <w:pStyle w:val="16"/>
              <w:spacing w:before="205" w:line="221" w:lineRule="auto"/>
              <w:ind w:left="189"/>
              <w:rPr>
                <w:sz w:val="28"/>
                <w:szCs w:val="28"/>
              </w:rPr>
            </w:pPr>
            <w:r>
              <w:rPr>
                <w:b/>
                <w:bCs/>
                <w:spacing w:val="-8"/>
                <w:sz w:val="28"/>
                <w:szCs w:val="28"/>
              </w:rPr>
              <w:t>序号</w:t>
            </w:r>
          </w:p>
        </w:tc>
        <w:tc>
          <w:tcPr>
            <w:tcW w:w="2909" w:type="dxa"/>
            <w:shd w:val="clear" w:color="auto" w:fill="EEECE1"/>
            <w:vAlign w:val="top"/>
          </w:tcPr>
          <w:p w14:paraId="1C3550BE">
            <w:pPr>
              <w:pStyle w:val="16"/>
              <w:spacing w:before="204" w:line="221" w:lineRule="auto"/>
              <w:ind w:left="916"/>
              <w:rPr>
                <w:sz w:val="28"/>
                <w:szCs w:val="28"/>
              </w:rPr>
            </w:pPr>
            <w:r>
              <w:rPr>
                <w:b/>
                <w:bCs/>
                <w:spacing w:val="-10"/>
                <w:sz w:val="28"/>
                <w:szCs w:val="28"/>
              </w:rPr>
              <w:t>项目名称</w:t>
            </w:r>
          </w:p>
        </w:tc>
        <w:tc>
          <w:tcPr>
            <w:tcW w:w="950" w:type="dxa"/>
            <w:shd w:val="clear" w:color="auto" w:fill="EEECE1"/>
            <w:vAlign w:val="top"/>
          </w:tcPr>
          <w:p w14:paraId="4CC04F39">
            <w:pPr>
              <w:pStyle w:val="16"/>
              <w:spacing w:before="202" w:line="220" w:lineRule="auto"/>
              <w:ind w:left="213"/>
              <w:rPr>
                <w:sz w:val="28"/>
                <w:szCs w:val="28"/>
              </w:rPr>
            </w:pPr>
            <w:r>
              <w:rPr>
                <w:b/>
                <w:bCs/>
                <w:spacing w:val="-10"/>
                <w:sz w:val="28"/>
                <w:szCs w:val="28"/>
              </w:rPr>
              <w:t>数量</w:t>
            </w:r>
          </w:p>
        </w:tc>
        <w:tc>
          <w:tcPr>
            <w:tcW w:w="1179" w:type="dxa"/>
            <w:shd w:val="clear" w:color="auto" w:fill="EEECE1"/>
            <w:vAlign w:val="top"/>
          </w:tcPr>
          <w:p w14:paraId="14178ACB">
            <w:pPr>
              <w:pStyle w:val="16"/>
              <w:spacing w:before="202" w:line="221" w:lineRule="auto"/>
              <w:ind w:left="339"/>
              <w:rPr>
                <w:sz w:val="28"/>
                <w:szCs w:val="28"/>
              </w:rPr>
            </w:pPr>
            <w:r>
              <w:rPr>
                <w:b/>
                <w:bCs/>
                <w:spacing w:val="-10"/>
                <w:sz w:val="28"/>
                <w:szCs w:val="28"/>
              </w:rPr>
              <w:t>单位</w:t>
            </w:r>
          </w:p>
        </w:tc>
        <w:tc>
          <w:tcPr>
            <w:tcW w:w="2404" w:type="dxa"/>
            <w:shd w:val="clear" w:color="auto" w:fill="EEECE1"/>
            <w:vAlign w:val="top"/>
          </w:tcPr>
          <w:p w14:paraId="00C210BB">
            <w:pPr>
              <w:pStyle w:val="16"/>
              <w:spacing w:before="202" w:line="219" w:lineRule="auto"/>
              <w:ind w:left="171"/>
              <w:rPr>
                <w:sz w:val="28"/>
                <w:szCs w:val="28"/>
              </w:rPr>
            </w:pPr>
            <w:r>
              <w:rPr>
                <w:rFonts w:hint="eastAsia"/>
                <w:b/>
                <w:bCs/>
                <w:spacing w:val="-19"/>
                <w:sz w:val="28"/>
                <w:szCs w:val="28"/>
                <w:lang w:eastAsia="zh-CN"/>
              </w:rPr>
              <w:t>报</w:t>
            </w:r>
            <w:r>
              <w:rPr>
                <w:b/>
                <w:bCs/>
                <w:spacing w:val="-19"/>
                <w:sz w:val="28"/>
                <w:szCs w:val="28"/>
              </w:rPr>
              <w:t>价（万元）</w:t>
            </w:r>
          </w:p>
        </w:tc>
        <w:tc>
          <w:tcPr>
            <w:tcW w:w="710" w:type="dxa"/>
            <w:shd w:val="clear" w:color="auto" w:fill="EEECE1"/>
            <w:vAlign w:val="top"/>
          </w:tcPr>
          <w:p w14:paraId="0C03C7D9">
            <w:pPr>
              <w:pStyle w:val="16"/>
              <w:spacing w:before="203" w:line="221" w:lineRule="auto"/>
              <w:ind w:left="107"/>
              <w:rPr>
                <w:sz w:val="28"/>
                <w:szCs w:val="28"/>
              </w:rPr>
            </w:pPr>
            <w:r>
              <w:rPr>
                <w:b/>
                <w:bCs/>
                <w:spacing w:val="-10"/>
                <w:sz w:val="28"/>
                <w:szCs w:val="28"/>
              </w:rPr>
              <w:t>备注</w:t>
            </w:r>
          </w:p>
        </w:tc>
      </w:tr>
      <w:tr w14:paraId="38581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17" w:type="dxa"/>
            <w:vAlign w:val="top"/>
          </w:tcPr>
          <w:p w14:paraId="00AA00A0">
            <w:pPr>
              <w:pStyle w:val="16"/>
              <w:spacing w:before="134" w:line="234" w:lineRule="auto"/>
              <w:ind w:left="414"/>
              <w:rPr>
                <w:sz w:val="28"/>
                <w:szCs w:val="28"/>
              </w:rPr>
            </w:pPr>
            <w:r>
              <w:rPr>
                <w:sz w:val="28"/>
                <w:szCs w:val="28"/>
              </w:rPr>
              <w:t>1</w:t>
            </w:r>
          </w:p>
        </w:tc>
        <w:tc>
          <w:tcPr>
            <w:tcW w:w="2909" w:type="dxa"/>
            <w:vAlign w:val="top"/>
          </w:tcPr>
          <w:p w14:paraId="33F6F581">
            <w:pPr>
              <w:pStyle w:val="16"/>
              <w:spacing w:before="133" w:line="220" w:lineRule="auto"/>
              <w:ind w:left="61"/>
              <w:rPr>
                <w:sz w:val="28"/>
                <w:szCs w:val="28"/>
              </w:rPr>
            </w:pPr>
            <w:r>
              <w:rPr>
                <w:spacing w:val="-2"/>
                <w:sz w:val="28"/>
                <w:szCs w:val="28"/>
              </w:rPr>
              <w:t>县域中心药房管理系统</w:t>
            </w:r>
          </w:p>
        </w:tc>
        <w:tc>
          <w:tcPr>
            <w:tcW w:w="950" w:type="dxa"/>
            <w:vAlign w:val="top"/>
          </w:tcPr>
          <w:p w14:paraId="50425095">
            <w:pPr>
              <w:pStyle w:val="16"/>
              <w:spacing w:before="134" w:line="234" w:lineRule="auto"/>
              <w:ind w:left="433"/>
              <w:rPr>
                <w:sz w:val="28"/>
                <w:szCs w:val="28"/>
              </w:rPr>
            </w:pPr>
            <w:r>
              <w:rPr>
                <w:sz w:val="28"/>
                <w:szCs w:val="28"/>
              </w:rPr>
              <w:t>1</w:t>
            </w:r>
          </w:p>
        </w:tc>
        <w:tc>
          <w:tcPr>
            <w:tcW w:w="1179" w:type="dxa"/>
            <w:vAlign w:val="top"/>
          </w:tcPr>
          <w:p w14:paraId="6CFA4218">
            <w:pPr>
              <w:pStyle w:val="16"/>
              <w:spacing w:before="134" w:line="220" w:lineRule="auto"/>
              <w:ind w:left="459"/>
              <w:rPr>
                <w:sz w:val="28"/>
                <w:szCs w:val="28"/>
              </w:rPr>
            </w:pPr>
            <w:r>
              <w:rPr>
                <w:sz w:val="28"/>
                <w:szCs w:val="28"/>
              </w:rPr>
              <w:t>套</w:t>
            </w:r>
          </w:p>
        </w:tc>
        <w:tc>
          <w:tcPr>
            <w:tcW w:w="2404" w:type="dxa"/>
            <w:vAlign w:val="top"/>
          </w:tcPr>
          <w:p w14:paraId="33D24DF4">
            <w:pPr>
              <w:pStyle w:val="16"/>
              <w:spacing w:before="110"/>
              <w:ind w:left="1071"/>
              <w:rPr>
                <w:sz w:val="28"/>
                <w:szCs w:val="28"/>
              </w:rPr>
            </w:pPr>
          </w:p>
        </w:tc>
        <w:tc>
          <w:tcPr>
            <w:tcW w:w="710" w:type="dxa"/>
            <w:vAlign w:val="top"/>
          </w:tcPr>
          <w:p w14:paraId="2B0617D2">
            <w:pPr>
              <w:pStyle w:val="16"/>
              <w:spacing w:before="109" w:line="225" w:lineRule="auto"/>
              <w:ind w:left="292"/>
              <w:rPr>
                <w:sz w:val="28"/>
                <w:szCs w:val="28"/>
              </w:rPr>
            </w:pPr>
          </w:p>
        </w:tc>
      </w:tr>
      <w:tr w14:paraId="0B24F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17" w:type="dxa"/>
            <w:vAlign w:val="top"/>
          </w:tcPr>
          <w:p w14:paraId="0DF3A4AC">
            <w:pPr>
              <w:pStyle w:val="16"/>
              <w:spacing w:before="134" w:line="234" w:lineRule="auto"/>
              <w:ind w:left="414"/>
              <w:rPr>
                <w:rFonts w:hint="eastAsia" w:eastAsia="宋体"/>
                <w:sz w:val="28"/>
                <w:szCs w:val="28"/>
                <w:lang w:val="en-US" w:eastAsia="zh-CN"/>
              </w:rPr>
            </w:pPr>
            <w:r>
              <w:rPr>
                <w:rFonts w:hint="eastAsia"/>
                <w:sz w:val="28"/>
                <w:szCs w:val="28"/>
                <w:lang w:val="en-US" w:eastAsia="zh-CN"/>
              </w:rPr>
              <w:t>2</w:t>
            </w:r>
          </w:p>
        </w:tc>
        <w:tc>
          <w:tcPr>
            <w:tcW w:w="2909" w:type="dxa"/>
            <w:vAlign w:val="top"/>
          </w:tcPr>
          <w:p w14:paraId="21025870">
            <w:pPr>
              <w:pStyle w:val="16"/>
              <w:spacing w:before="133" w:line="220" w:lineRule="auto"/>
              <w:ind w:left="61"/>
              <w:rPr>
                <w:spacing w:val="-2"/>
                <w:sz w:val="28"/>
                <w:szCs w:val="28"/>
              </w:rPr>
            </w:pPr>
            <w:r>
              <w:rPr>
                <w:rFonts w:hint="eastAsia"/>
                <w:spacing w:val="-2"/>
                <w:sz w:val="28"/>
                <w:szCs w:val="28"/>
                <w:lang w:val="en-US" w:eastAsia="zh-CN"/>
              </w:rPr>
              <w:t>医共体内医疗机构系统对接</w:t>
            </w:r>
          </w:p>
        </w:tc>
        <w:tc>
          <w:tcPr>
            <w:tcW w:w="950" w:type="dxa"/>
            <w:vAlign w:val="center"/>
          </w:tcPr>
          <w:p w14:paraId="758BA59D">
            <w:pPr>
              <w:pStyle w:val="16"/>
              <w:spacing w:before="133" w:line="220" w:lineRule="auto"/>
              <w:ind w:left="61"/>
              <w:jc w:val="center"/>
              <w:rPr>
                <w:rFonts w:hint="eastAsia"/>
                <w:spacing w:val="-2"/>
                <w:sz w:val="28"/>
                <w:szCs w:val="28"/>
                <w:lang w:val="en-US" w:eastAsia="zh-CN"/>
              </w:rPr>
            </w:pPr>
            <w:r>
              <w:rPr>
                <w:rFonts w:hint="eastAsia"/>
                <w:spacing w:val="-2"/>
                <w:sz w:val="28"/>
                <w:szCs w:val="28"/>
                <w:lang w:val="en-US" w:eastAsia="zh-CN"/>
              </w:rPr>
              <w:t>1</w:t>
            </w:r>
          </w:p>
        </w:tc>
        <w:tc>
          <w:tcPr>
            <w:tcW w:w="1179" w:type="dxa"/>
            <w:vAlign w:val="top"/>
          </w:tcPr>
          <w:p w14:paraId="065741C4">
            <w:pPr>
              <w:pStyle w:val="16"/>
              <w:spacing w:before="134" w:line="220" w:lineRule="auto"/>
              <w:ind w:left="459"/>
              <w:rPr>
                <w:sz w:val="28"/>
                <w:szCs w:val="28"/>
              </w:rPr>
            </w:pPr>
            <w:r>
              <w:rPr>
                <w:sz w:val="28"/>
                <w:szCs w:val="28"/>
              </w:rPr>
              <w:t>套</w:t>
            </w:r>
          </w:p>
        </w:tc>
        <w:tc>
          <w:tcPr>
            <w:tcW w:w="2404" w:type="dxa"/>
            <w:vAlign w:val="top"/>
          </w:tcPr>
          <w:p w14:paraId="2CCAEAF5">
            <w:pPr>
              <w:pStyle w:val="16"/>
              <w:spacing w:before="110"/>
              <w:ind w:left="1071"/>
              <w:rPr>
                <w:spacing w:val="-6"/>
                <w:sz w:val="28"/>
                <w:szCs w:val="28"/>
              </w:rPr>
            </w:pPr>
          </w:p>
        </w:tc>
        <w:tc>
          <w:tcPr>
            <w:tcW w:w="710" w:type="dxa"/>
            <w:vAlign w:val="top"/>
          </w:tcPr>
          <w:p w14:paraId="73FC4722">
            <w:pPr>
              <w:pStyle w:val="16"/>
              <w:spacing w:before="109" w:line="225" w:lineRule="auto"/>
              <w:ind w:left="292"/>
              <w:rPr>
                <w:sz w:val="28"/>
                <w:szCs w:val="28"/>
              </w:rPr>
            </w:pPr>
          </w:p>
        </w:tc>
      </w:tr>
    </w:tbl>
    <w:p w14:paraId="31BC69DB">
      <w:pPr>
        <w:pStyle w:val="9"/>
        <w:ind w:left="0" w:leftChars="0" w:firstLine="0" w:firstLineChars="0"/>
        <w:outlineLvl w:val="2"/>
        <w:rPr>
          <w:rFonts w:hint="eastAsia"/>
          <w:b/>
          <w:bCs/>
          <w:spacing w:val="4"/>
          <w:sz w:val="31"/>
          <w:szCs w:val="31"/>
          <w:lang w:val="en-US" w:eastAsia="zh-CN"/>
        </w:rPr>
      </w:pPr>
    </w:p>
    <w:p w14:paraId="0E8887E7">
      <w:pPr>
        <w:pStyle w:val="9"/>
        <w:ind w:left="0" w:leftChars="0" w:firstLine="0" w:firstLineChars="0"/>
        <w:outlineLvl w:val="2"/>
        <w:rPr>
          <w:rFonts w:hint="eastAsia"/>
          <w:b/>
          <w:bCs/>
          <w:spacing w:val="4"/>
          <w:sz w:val="31"/>
          <w:szCs w:val="31"/>
          <w:lang w:val="en-US" w:eastAsia="zh-CN"/>
        </w:rPr>
      </w:pPr>
    </w:p>
    <w:p w14:paraId="6EAAB997">
      <w:pPr>
        <w:pStyle w:val="9"/>
        <w:ind w:left="0" w:leftChars="0" w:firstLine="0" w:firstLineChars="0"/>
        <w:outlineLvl w:val="2"/>
        <w:rPr>
          <w:rStyle w:val="8"/>
          <w:rFonts w:hint="eastAsia" w:ascii="仿宋_GB2312" w:hAnsi="仿宋_GB2312" w:eastAsia="仿宋_GB2312" w:cs="仿宋_GB2312"/>
          <w:b/>
          <w:bCs/>
          <w:color w:val="auto"/>
          <w:sz w:val="30"/>
          <w:szCs w:val="30"/>
          <w:lang w:val="en-US" w:eastAsia="zh-CN"/>
        </w:rPr>
      </w:pPr>
      <w:r>
        <w:rPr>
          <w:rFonts w:hint="eastAsia"/>
          <w:b/>
          <w:bCs/>
          <w:spacing w:val="4"/>
          <w:sz w:val="31"/>
          <w:szCs w:val="31"/>
          <w:lang w:val="en-US" w:eastAsia="zh-CN"/>
        </w:rPr>
        <w:t>2</w:t>
      </w:r>
      <w:r>
        <w:rPr>
          <w:rStyle w:val="8"/>
          <w:rFonts w:hint="eastAsia" w:ascii="仿宋_GB2312" w:hAnsi="仿宋_GB2312" w:eastAsia="仿宋_GB2312" w:cs="仿宋_GB2312"/>
          <w:b/>
          <w:bCs/>
          <w:color w:val="auto"/>
          <w:sz w:val="30"/>
          <w:szCs w:val="30"/>
          <w:lang w:val="en-US" w:eastAsia="zh-CN"/>
        </w:rPr>
        <w:t>采购内容技术功能及相关要求</w:t>
      </w:r>
    </w:p>
    <w:p w14:paraId="1FFFFABE">
      <w:pPr>
        <w:pStyle w:val="5"/>
        <w:spacing w:before="48" w:line="224" w:lineRule="auto"/>
        <w:outlineLvl w:val="1"/>
        <w:rPr>
          <w:sz w:val="31"/>
          <w:szCs w:val="31"/>
        </w:rPr>
      </w:pPr>
    </w:p>
    <w:p w14:paraId="36597C7A">
      <w:pPr>
        <w:spacing w:before="52"/>
      </w:pPr>
    </w:p>
    <w:p w14:paraId="6F58653A">
      <w:pPr>
        <w:spacing w:before="51"/>
      </w:pPr>
    </w:p>
    <w:tbl>
      <w:tblPr>
        <w:tblStyle w:val="17"/>
        <w:tblW w:w="91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8"/>
        <w:gridCol w:w="7511"/>
        <w:gridCol w:w="780"/>
      </w:tblGrid>
      <w:tr w14:paraId="1EA24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48" w:type="dxa"/>
            <w:shd w:val="clear" w:color="auto" w:fill="E7E6E6"/>
            <w:vAlign w:val="top"/>
          </w:tcPr>
          <w:p w14:paraId="0713960A">
            <w:pPr>
              <w:pStyle w:val="16"/>
              <w:spacing w:before="249" w:line="222" w:lineRule="auto"/>
              <w:ind w:left="207"/>
            </w:pPr>
            <w:r>
              <w:rPr>
                <w:b/>
                <w:bCs/>
                <w:spacing w:val="-4"/>
              </w:rPr>
              <w:t>序号</w:t>
            </w:r>
          </w:p>
        </w:tc>
        <w:tc>
          <w:tcPr>
            <w:tcW w:w="7511" w:type="dxa"/>
            <w:shd w:val="clear" w:color="auto" w:fill="E7E6E6"/>
            <w:vAlign w:val="top"/>
          </w:tcPr>
          <w:p w14:paraId="48B39040">
            <w:pPr>
              <w:pStyle w:val="16"/>
              <w:spacing w:before="250" w:line="220" w:lineRule="auto"/>
              <w:ind w:left="2767"/>
            </w:pPr>
            <w:r>
              <w:rPr>
                <w:b/>
                <w:bCs/>
                <w:spacing w:val="-3"/>
              </w:rPr>
              <w:t>招标参数和性能要求</w:t>
            </w:r>
          </w:p>
        </w:tc>
        <w:tc>
          <w:tcPr>
            <w:tcW w:w="780" w:type="dxa"/>
            <w:shd w:val="clear" w:color="auto" w:fill="E7E6E6"/>
            <w:vAlign w:val="top"/>
          </w:tcPr>
          <w:p w14:paraId="13B38488">
            <w:pPr>
              <w:pStyle w:val="16"/>
              <w:spacing w:before="250" w:line="221" w:lineRule="auto"/>
              <w:ind w:left="64"/>
              <w:rPr>
                <w:rFonts w:hint="eastAsia" w:eastAsia="宋体"/>
                <w:lang w:eastAsia="zh-CN"/>
              </w:rPr>
            </w:pPr>
            <w:r>
              <w:rPr>
                <w:rFonts w:hint="eastAsia"/>
                <w:lang w:eastAsia="zh-CN"/>
              </w:rPr>
              <w:t>备注</w:t>
            </w:r>
          </w:p>
        </w:tc>
      </w:tr>
      <w:tr w14:paraId="7959E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848" w:type="dxa"/>
            <w:vAlign w:val="top"/>
          </w:tcPr>
          <w:p w14:paraId="6A7EC974">
            <w:pPr>
              <w:pStyle w:val="16"/>
              <w:spacing w:before="168" w:line="170" w:lineRule="exact"/>
              <w:ind w:left="322"/>
            </w:pPr>
            <w:r>
              <w:rPr>
                <w:b/>
                <w:bCs/>
                <w:spacing w:val="-3"/>
                <w:position w:val="-4"/>
              </w:rPr>
              <w:t>一</w:t>
            </w:r>
          </w:p>
        </w:tc>
        <w:tc>
          <w:tcPr>
            <w:tcW w:w="8291" w:type="dxa"/>
            <w:gridSpan w:val="2"/>
            <w:vAlign w:val="top"/>
          </w:tcPr>
          <w:p w14:paraId="56647C04">
            <w:pPr>
              <w:pStyle w:val="16"/>
              <w:spacing w:before="85" w:line="220" w:lineRule="auto"/>
              <w:ind w:left="7"/>
            </w:pPr>
            <w:r>
              <w:rPr>
                <w:b/>
                <w:bCs/>
                <w:spacing w:val="-3"/>
              </w:rPr>
              <w:t>便民惠民服务</w:t>
            </w:r>
          </w:p>
        </w:tc>
      </w:tr>
      <w:tr w14:paraId="6F4A6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48" w:type="dxa"/>
            <w:vAlign w:val="top"/>
          </w:tcPr>
          <w:p w14:paraId="29F23A67">
            <w:pPr>
              <w:spacing w:before="184" w:line="197" w:lineRule="auto"/>
              <w:ind w:left="291"/>
              <w:rPr>
                <w:rFonts w:ascii="Arial" w:hAnsi="Arial" w:eastAsia="Arial" w:cs="Arial"/>
                <w:sz w:val="22"/>
                <w:szCs w:val="22"/>
              </w:rPr>
            </w:pPr>
            <w:r>
              <w:rPr>
                <w:rFonts w:ascii="Arial" w:hAnsi="Arial" w:eastAsia="Arial" w:cs="Arial"/>
                <w:spacing w:val="-8"/>
                <w:sz w:val="22"/>
                <w:szCs w:val="22"/>
              </w:rPr>
              <w:t>1.1</w:t>
            </w:r>
          </w:p>
        </w:tc>
        <w:tc>
          <w:tcPr>
            <w:tcW w:w="7511" w:type="dxa"/>
            <w:vAlign w:val="top"/>
          </w:tcPr>
          <w:p w14:paraId="22ADD51C">
            <w:pPr>
              <w:pStyle w:val="16"/>
              <w:spacing w:before="156" w:line="220" w:lineRule="auto"/>
              <w:ind w:left="8"/>
            </w:pPr>
            <w:r>
              <w:rPr>
                <w:spacing w:val="-2"/>
              </w:rPr>
              <w:t>药品目录信息查询</w:t>
            </w:r>
          </w:p>
        </w:tc>
        <w:tc>
          <w:tcPr>
            <w:tcW w:w="780" w:type="dxa"/>
            <w:vAlign w:val="top"/>
          </w:tcPr>
          <w:p w14:paraId="58CBADCF">
            <w:pPr>
              <w:rPr>
                <w:rFonts w:ascii="Arial"/>
                <w:sz w:val="21"/>
              </w:rPr>
            </w:pPr>
          </w:p>
        </w:tc>
      </w:tr>
      <w:tr w14:paraId="5DE2F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848" w:type="dxa"/>
            <w:vAlign w:val="top"/>
          </w:tcPr>
          <w:p w14:paraId="6BC271F2">
            <w:pPr>
              <w:spacing w:before="275" w:line="197" w:lineRule="auto"/>
              <w:ind w:left="199"/>
              <w:rPr>
                <w:rFonts w:ascii="Arial" w:hAnsi="Arial" w:eastAsia="Arial" w:cs="Arial"/>
                <w:sz w:val="22"/>
                <w:szCs w:val="22"/>
              </w:rPr>
            </w:pPr>
            <w:r>
              <w:rPr>
                <w:rFonts w:ascii="Arial" w:hAnsi="Arial" w:eastAsia="Arial" w:cs="Arial"/>
                <w:spacing w:val="-5"/>
                <w:sz w:val="22"/>
                <w:szCs w:val="22"/>
              </w:rPr>
              <w:t>1.1.2</w:t>
            </w:r>
          </w:p>
        </w:tc>
        <w:tc>
          <w:tcPr>
            <w:tcW w:w="7511" w:type="dxa"/>
            <w:vAlign w:val="top"/>
          </w:tcPr>
          <w:p w14:paraId="6CCD4C75">
            <w:pPr>
              <w:pStyle w:val="16"/>
              <w:spacing w:before="102" w:line="242" w:lineRule="auto"/>
              <w:ind w:left="7" w:right="70" w:firstLine="18"/>
            </w:pPr>
            <w:r>
              <w:rPr>
                <w:spacing w:val="-2"/>
              </w:rPr>
              <w:t>中心（云）药房提供药品信息查询和导出功能（基于药品名称、分类</w:t>
            </w:r>
            <w:r>
              <w:rPr>
                <w:spacing w:val="-3"/>
              </w:rPr>
              <w:t>、价格、生产商、医保编号等查询药品信息）。</w:t>
            </w:r>
          </w:p>
        </w:tc>
        <w:tc>
          <w:tcPr>
            <w:tcW w:w="780" w:type="dxa"/>
            <w:vAlign w:val="top"/>
          </w:tcPr>
          <w:p w14:paraId="1F77F109">
            <w:pPr>
              <w:rPr>
                <w:rFonts w:ascii="Arial"/>
                <w:sz w:val="21"/>
              </w:rPr>
            </w:pPr>
          </w:p>
        </w:tc>
      </w:tr>
      <w:tr w14:paraId="4691E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848" w:type="dxa"/>
            <w:vAlign w:val="top"/>
          </w:tcPr>
          <w:p w14:paraId="0A2468E4">
            <w:pPr>
              <w:spacing w:before="276" w:line="197" w:lineRule="auto"/>
              <w:ind w:left="199"/>
              <w:rPr>
                <w:rFonts w:ascii="Arial" w:hAnsi="Arial" w:eastAsia="Arial" w:cs="Arial"/>
                <w:sz w:val="22"/>
                <w:szCs w:val="22"/>
              </w:rPr>
            </w:pPr>
            <w:r>
              <w:rPr>
                <w:rFonts w:ascii="Arial" w:hAnsi="Arial" w:eastAsia="Arial" w:cs="Arial"/>
                <w:spacing w:val="-5"/>
                <w:sz w:val="22"/>
                <w:szCs w:val="22"/>
              </w:rPr>
              <w:t>1.1.2</w:t>
            </w:r>
          </w:p>
        </w:tc>
        <w:tc>
          <w:tcPr>
            <w:tcW w:w="7511" w:type="dxa"/>
            <w:vAlign w:val="top"/>
          </w:tcPr>
          <w:p w14:paraId="76EEFD33">
            <w:pPr>
              <w:pStyle w:val="16"/>
              <w:spacing w:before="103" w:line="242" w:lineRule="auto"/>
              <w:ind w:left="11" w:right="37" w:firstLine="15"/>
            </w:pPr>
            <w:r>
              <w:rPr>
                <w:spacing w:val="-1"/>
              </w:rPr>
              <w:t>中心（云）药房提供标准药品信息展示功能，供机构官网、电子</w:t>
            </w:r>
            <w:r>
              <w:rPr>
                <w:spacing w:val="-2"/>
              </w:rPr>
              <w:t>触摸屏、电子</w:t>
            </w:r>
            <w:r>
              <w:rPr>
                <w:spacing w:val="-3"/>
              </w:rPr>
              <w:t>显示屏、公示栏、公示牌对外展示。</w:t>
            </w:r>
          </w:p>
        </w:tc>
        <w:tc>
          <w:tcPr>
            <w:tcW w:w="780" w:type="dxa"/>
            <w:vAlign w:val="top"/>
          </w:tcPr>
          <w:p w14:paraId="457D4494">
            <w:pPr>
              <w:rPr>
                <w:rFonts w:ascii="Arial"/>
                <w:sz w:val="21"/>
              </w:rPr>
            </w:pPr>
          </w:p>
        </w:tc>
      </w:tr>
      <w:tr w14:paraId="43EDF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48" w:type="dxa"/>
            <w:vAlign w:val="top"/>
          </w:tcPr>
          <w:p w14:paraId="5E80A8BD">
            <w:pPr>
              <w:spacing w:before="177" w:line="197" w:lineRule="auto"/>
              <w:ind w:left="291"/>
              <w:rPr>
                <w:rFonts w:ascii="Arial" w:hAnsi="Arial" w:eastAsia="Arial" w:cs="Arial"/>
                <w:sz w:val="22"/>
                <w:szCs w:val="22"/>
              </w:rPr>
            </w:pPr>
            <w:r>
              <w:rPr>
                <w:rFonts w:ascii="Arial" w:hAnsi="Arial" w:eastAsia="Arial" w:cs="Arial"/>
                <w:spacing w:val="-8"/>
                <w:sz w:val="22"/>
                <w:szCs w:val="22"/>
              </w:rPr>
              <w:t>1.2</w:t>
            </w:r>
          </w:p>
        </w:tc>
        <w:tc>
          <w:tcPr>
            <w:tcW w:w="7511" w:type="dxa"/>
            <w:vAlign w:val="top"/>
          </w:tcPr>
          <w:p w14:paraId="1CBA06BB">
            <w:pPr>
              <w:pStyle w:val="16"/>
              <w:spacing w:before="149" w:line="220" w:lineRule="auto"/>
              <w:ind w:left="8"/>
            </w:pPr>
            <w:r>
              <w:rPr>
                <w:spacing w:val="-2"/>
              </w:rPr>
              <w:t>药品字典查询</w:t>
            </w:r>
          </w:p>
        </w:tc>
        <w:tc>
          <w:tcPr>
            <w:tcW w:w="780" w:type="dxa"/>
            <w:vAlign w:val="top"/>
          </w:tcPr>
          <w:p w14:paraId="3BBADD31">
            <w:pPr>
              <w:rPr>
                <w:rFonts w:ascii="Arial"/>
                <w:sz w:val="21"/>
              </w:rPr>
            </w:pPr>
          </w:p>
        </w:tc>
      </w:tr>
      <w:tr w14:paraId="660D3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0" w:hRule="atLeast"/>
        </w:trPr>
        <w:tc>
          <w:tcPr>
            <w:tcW w:w="848" w:type="dxa"/>
            <w:vAlign w:val="top"/>
          </w:tcPr>
          <w:p w14:paraId="60EBA705">
            <w:pPr>
              <w:spacing w:line="391" w:lineRule="auto"/>
              <w:rPr>
                <w:rFonts w:ascii="Arial"/>
                <w:sz w:val="21"/>
              </w:rPr>
            </w:pPr>
          </w:p>
          <w:p w14:paraId="6151077C">
            <w:pPr>
              <w:spacing w:before="63" w:line="197" w:lineRule="auto"/>
              <w:ind w:left="199"/>
              <w:rPr>
                <w:rFonts w:ascii="Arial" w:hAnsi="Arial" w:eastAsia="Arial" w:cs="Arial"/>
                <w:sz w:val="22"/>
                <w:szCs w:val="22"/>
              </w:rPr>
            </w:pPr>
            <w:r>
              <w:rPr>
                <w:rFonts w:ascii="Arial" w:hAnsi="Arial" w:eastAsia="Arial" w:cs="Arial"/>
                <w:spacing w:val="-5"/>
                <w:sz w:val="22"/>
                <w:szCs w:val="22"/>
              </w:rPr>
              <w:t>1.2.1</w:t>
            </w:r>
          </w:p>
        </w:tc>
        <w:tc>
          <w:tcPr>
            <w:tcW w:w="7511" w:type="dxa"/>
            <w:vAlign w:val="top"/>
          </w:tcPr>
          <w:p w14:paraId="6EAB690D">
            <w:pPr>
              <w:pStyle w:val="16"/>
              <w:spacing w:before="283" w:line="242" w:lineRule="auto"/>
              <w:ind w:left="5" w:right="37" w:firstLine="21"/>
            </w:pPr>
            <w:r>
              <w:rPr>
                <w:spacing w:val="-1"/>
              </w:rPr>
              <w:t>中心（云）药房提供药品字典信息查询功能供全县医院使用，提</w:t>
            </w:r>
            <w:r>
              <w:rPr>
                <w:spacing w:val="-2"/>
              </w:rPr>
              <w:t>供通过医保编</w:t>
            </w:r>
            <w:r>
              <w:rPr>
                <w:spacing w:val="-1"/>
              </w:rPr>
              <w:t>码，</w:t>
            </w:r>
            <w:r>
              <w:rPr>
                <w:rFonts w:ascii="Arial" w:hAnsi="Arial" w:eastAsia="Arial" w:cs="Arial"/>
                <w:spacing w:val="-1"/>
              </w:rPr>
              <w:t>YPID</w:t>
            </w:r>
            <w:r>
              <w:rPr>
                <w:spacing w:val="-1"/>
              </w:rPr>
              <w:t>，药品名称，厂家等信息进行药品数据检索</w:t>
            </w:r>
            <w:r>
              <w:rPr>
                <w:spacing w:val="-2"/>
              </w:rPr>
              <w:t>功能。</w:t>
            </w:r>
          </w:p>
        </w:tc>
        <w:tc>
          <w:tcPr>
            <w:tcW w:w="780" w:type="dxa"/>
            <w:vAlign w:val="top"/>
          </w:tcPr>
          <w:p w14:paraId="397A4FC0">
            <w:pPr>
              <w:rPr>
                <w:rFonts w:ascii="Arial"/>
                <w:sz w:val="21"/>
              </w:rPr>
            </w:pPr>
          </w:p>
        </w:tc>
      </w:tr>
      <w:tr w14:paraId="3ED68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0" w:hRule="atLeast"/>
        </w:trPr>
        <w:tc>
          <w:tcPr>
            <w:tcW w:w="848" w:type="dxa"/>
            <w:vAlign w:val="top"/>
          </w:tcPr>
          <w:p w14:paraId="0230032B">
            <w:pPr>
              <w:spacing w:line="390" w:lineRule="auto"/>
              <w:rPr>
                <w:rFonts w:ascii="Arial"/>
                <w:sz w:val="21"/>
              </w:rPr>
            </w:pPr>
          </w:p>
          <w:p w14:paraId="0C8883BB">
            <w:pPr>
              <w:spacing w:before="64" w:line="197" w:lineRule="auto"/>
              <w:ind w:left="199"/>
              <w:rPr>
                <w:rFonts w:ascii="Arial" w:hAnsi="Arial" w:eastAsia="Arial" w:cs="Arial"/>
                <w:sz w:val="22"/>
                <w:szCs w:val="22"/>
              </w:rPr>
            </w:pPr>
            <w:r>
              <w:rPr>
                <w:rFonts w:ascii="Arial" w:hAnsi="Arial" w:eastAsia="Arial" w:cs="Arial"/>
                <w:spacing w:val="-5"/>
                <w:sz w:val="22"/>
                <w:szCs w:val="22"/>
              </w:rPr>
              <w:t>1.2.2</w:t>
            </w:r>
          </w:p>
        </w:tc>
        <w:tc>
          <w:tcPr>
            <w:tcW w:w="7511" w:type="dxa"/>
            <w:vAlign w:val="top"/>
          </w:tcPr>
          <w:p w14:paraId="35379CE6">
            <w:pPr>
              <w:pStyle w:val="16"/>
              <w:spacing w:before="142" w:line="241" w:lineRule="auto"/>
              <w:ind w:left="6" w:right="37" w:firstLine="2"/>
            </w:pPr>
            <w:r>
              <w:rPr>
                <w:spacing w:val="-1"/>
              </w:rPr>
              <w:t>药品字典检索内容必须包含基本信息、单位转换、通用名、药品剂型、药品分类、抗菌药物、抗肿瘤药物、基本药物、特殊药品、医保药品、兴奋剂药品、</w:t>
            </w:r>
            <w:r>
              <w:rPr>
                <w:spacing w:val="-3"/>
              </w:rPr>
              <w:t>中药标记等关键药品基础属性。</w:t>
            </w:r>
          </w:p>
        </w:tc>
        <w:tc>
          <w:tcPr>
            <w:tcW w:w="780" w:type="dxa"/>
            <w:vAlign w:val="top"/>
          </w:tcPr>
          <w:p w14:paraId="79939845">
            <w:pPr>
              <w:spacing w:line="354" w:lineRule="auto"/>
              <w:rPr>
                <w:rFonts w:ascii="Arial"/>
                <w:sz w:val="21"/>
              </w:rPr>
            </w:pPr>
          </w:p>
          <w:p w14:paraId="44231E79">
            <w:pPr>
              <w:pStyle w:val="16"/>
              <w:spacing w:before="71" w:line="227" w:lineRule="auto"/>
              <w:ind w:left="291"/>
              <w:rPr>
                <w:rFonts w:hint="eastAsia" w:eastAsia="宋体"/>
                <w:lang w:eastAsia="zh-CN"/>
              </w:rPr>
            </w:pPr>
          </w:p>
        </w:tc>
      </w:tr>
      <w:tr w14:paraId="65B0C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48" w:type="dxa"/>
            <w:vAlign w:val="top"/>
          </w:tcPr>
          <w:p w14:paraId="315D6D28">
            <w:pPr>
              <w:spacing w:before="112" w:line="300" w:lineRule="exact"/>
              <w:ind w:left="291"/>
              <w:rPr>
                <w:rFonts w:ascii="Arial" w:hAnsi="Arial" w:eastAsia="Arial" w:cs="Arial"/>
                <w:sz w:val="22"/>
                <w:szCs w:val="22"/>
              </w:rPr>
            </w:pPr>
            <w:r>
              <w:rPr>
                <w:rFonts w:ascii="Arial" w:hAnsi="Arial" w:eastAsia="Arial" w:cs="Arial"/>
                <w:spacing w:val="-8"/>
                <w:position w:val="1"/>
                <w:sz w:val="22"/>
                <w:szCs w:val="22"/>
              </w:rPr>
              <w:t>1.3</w:t>
            </w:r>
          </w:p>
        </w:tc>
        <w:tc>
          <w:tcPr>
            <w:tcW w:w="7511" w:type="dxa"/>
            <w:vAlign w:val="top"/>
          </w:tcPr>
          <w:p w14:paraId="47DA91BD">
            <w:pPr>
              <w:pStyle w:val="16"/>
              <w:spacing w:before="150" w:line="220" w:lineRule="auto"/>
              <w:ind w:left="6"/>
            </w:pPr>
            <w:r>
              <w:rPr>
                <w:spacing w:val="-3"/>
              </w:rPr>
              <w:t>缺药登记</w:t>
            </w:r>
          </w:p>
        </w:tc>
        <w:tc>
          <w:tcPr>
            <w:tcW w:w="780" w:type="dxa"/>
            <w:vAlign w:val="top"/>
          </w:tcPr>
          <w:p w14:paraId="352A93DD">
            <w:pPr>
              <w:rPr>
                <w:rFonts w:ascii="Arial"/>
                <w:sz w:val="21"/>
              </w:rPr>
            </w:pPr>
          </w:p>
        </w:tc>
      </w:tr>
      <w:tr w14:paraId="6824D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848" w:type="dxa"/>
            <w:vAlign w:val="top"/>
          </w:tcPr>
          <w:p w14:paraId="4BDC3F84">
            <w:pPr>
              <w:spacing w:line="354" w:lineRule="auto"/>
              <w:rPr>
                <w:rFonts w:ascii="Arial"/>
                <w:sz w:val="21"/>
              </w:rPr>
            </w:pPr>
          </w:p>
          <w:p w14:paraId="5DAEDE9B">
            <w:pPr>
              <w:spacing w:before="63" w:line="301" w:lineRule="exact"/>
              <w:ind w:left="199"/>
              <w:rPr>
                <w:rFonts w:ascii="Arial" w:hAnsi="Arial" w:eastAsia="Arial" w:cs="Arial"/>
                <w:sz w:val="22"/>
                <w:szCs w:val="22"/>
              </w:rPr>
            </w:pPr>
            <w:r>
              <w:rPr>
                <w:rFonts w:ascii="Arial" w:hAnsi="Arial" w:eastAsia="Arial" w:cs="Arial"/>
                <w:spacing w:val="-5"/>
                <w:position w:val="1"/>
                <w:sz w:val="22"/>
                <w:szCs w:val="22"/>
              </w:rPr>
              <w:t>1.3.1</w:t>
            </w:r>
          </w:p>
        </w:tc>
        <w:tc>
          <w:tcPr>
            <w:tcW w:w="7511" w:type="dxa"/>
            <w:vAlign w:val="top"/>
          </w:tcPr>
          <w:p w14:paraId="2F59B7B7">
            <w:pPr>
              <w:pStyle w:val="16"/>
              <w:spacing w:line="237" w:lineRule="auto"/>
              <w:ind w:left="6" w:right="37"/>
              <w:jc w:val="both"/>
            </w:pPr>
            <w:r>
              <w:rPr>
                <w:spacing w:val="-1"/>
              </w:rPr>
              <w:t>提供缺药登记功能，对于不在医共体用药目录</w:t>
            </w:r>
            <w:r>
              <w:rPr>
                <w:spacing w:val="-2"/>
              </w:rPr>
              <w:t>的药品</w:t>
            </w:r>
            <w:r>
              <w:rPr>
                <w:rFonts w:ascii="Arial" w:hAnsi="Arial" w:eastAsia="Arial" w:cs="Arial"/>
                <w:spacing w:val="-2"/>
              </w:rPr>
              <w:t>(</w:t>
            </w:r>
            <w:r>
              <w:rPr>
                <w:spacing w:val="-2"/>
              </w:rPr>
              <w:t>含商品名药品</w:t>
            </w:r>
            <w:r>
              <w:rPr>
                <w:rFonts w:ascii="Arial" w:hAnsi="Arial" w:eastAsia="Arial" w:cs="Arial"/>
                <w:spacing w:val="-2"/>
              </w:rPr>
              <w:t>),</w:t>
            </w:r>
            <w:r>
              <w:rPr>
                <w:rFonts w:ascii="Arial" w:hAnsi="Arial" w:eastAsia="Arial" w:cs="Arial"/>
                <w:spacing w:val="-36"/>
              </w:rPr>
              <w:t xml:space="preserve"> </w:t>
            </w:r>
            <w:r>
              <w:rPr>
                <w:spacing w:val="-2"/>
              </w:rPr>
              <w:t>中心（云</w:t>
            </w:r>
            <w:r>
              <w:t xml:space="preserve"> </w:t>
            </w:r>
            <w:r>
              <w:rPr>
                <w:spacing w:val="3"/>
              </w:rPr>
              <w:t>)药房根据患者病情需要，组织评估审核；提供用药</w:t>
            </w:r>
            <w:r>
              <w:rPr>
                <w:spacing w:val="2"/>
              </w:rPr>
              <w:t>登记功能，可手动填写药</w:t>
            </w:r>
            <w:r>
              <w:rPr>
                <w:spacing w:val="-1"/>
              </w:rPr>
              <w:t>品基本信息（包括医保编码，药品名称，厂家，规格，剂型，批准文号等药品基础信息</w:t>
            </w:r>
            <w:r>
              <w:rPr>
                <w:spacing w:val="4"/>
              </w:rPr>
              <w:t>）；</w:t>
            </w:r>
            <w:r>
              <w:rPr>
                <w:spacing w:val="-1"/>
              </w:rPr>
              <w:t>填写用药申请理由，采购数量，到货时间信息。</w:t>
            </w:r>
          </w:p>
        </w:tc>
        <w:tc>
          <w:tcPr>
            <w:tcW w:w="780" w:type="dxa"/>
            <w:vAlign w:val="top"/>
          </w:tcPr>
          <w:p w14:paraId="63F1A837">
            <w:pPr>
              <w:rPr>
                <w:rFonts w:ascii="Arial"/>
                <w:sz w:val="21"/>
              </w:rPr>
            </w:pPr>
          </w:p>
        </w:tc>
      </w:tr>
      <w:tr w14:paraId="61020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848" w:type="dxa"/>
            <w:vAlign w:val="top"/>
          </w:tcPr>
          <w:p w14:paraId="697FC538">
            <w:pPr>
              <w:spacing w:before="299" w:line="301" w:lineRule="exact"/>
              <w:ind w:left="199"/>
              <w:rPr>
                <w:rFonts w:ascii="Arial" w:hAnsi="Arial" w:eastAsia="Arial" w:cs="Arial"/>
                <w:sz w:val="22"/>
                <w:szCs w:val="22"/>
              </w:rPr>
            </w:pPr>
            <w:r>
              <w:rPr>
                <w:rFonts w:ascii="Arial" w:hAnsi="Arial" w:eastAsia="Arial" w:cs="Arial"/>
                <w:spacing w:val="-5"/>
                <w:position w:val="1"/>
                <w:sz w:val="22"/>
                <w:szCs w:val="22"/>
              </w:rPr>
              <w:t>1.3.2</w:t>
            </w:r>
          </w:p>
        </w:tc>
        <w:tc>
          <w:tcPr>
            <w:tcW w:w="7511" w:type="dxa"/>
            <w:vAlign w:val="top"/>
          </w:tcPr>
          <w:p w14:paraId="054EEE9C">
            <w:pPr>
              <w:pStyle w:val="16"/>
              <w:spacing w:before="198" w:line="238" w:lineRule="auto"/>
              <w:ind w:left="23" w:right="37" w:hanging="18"/>
            </w:pPr>
            <w:r>
              <w:rPr>
                <w:spacing w:val="-1"/>
              </w:rPr>
              <w:t>平台需自动匹配药品字典基本信息功能，药师根据药品名称，医保编码信息后</w:t>
            </w:r>
            <w:r>
              <w:rPr>
                <w:spacing w:val="15"/>
              </w:rPr>
              <w:t xml:space="preserve"> </w:t>
            </w:r>
            <w:r>
              <w:rPr>
                <w:spacing w:val="3"/>
              </w:rPr>
              <w:t>,自动填报缺药登记的药品相关信息。</w:t>
            </w:r>
          </w:p>
        </w:tc>
        <w:tc>
          <w:tcPr>
            <w:tcW w:w="780" w:type="dxa"/>
            <w:vAlign w:val="top"/>
          </w:tcPr>
          <w:p w14:paraId="2FEF965B">
            <w:pPr>
              <w:rPr>
                <w:rFonts w:ascii="Arial"/>
                <w:sz w:val="21"/>
              </w:rPr>
            </w:pPr>
          </w:p>
        </w:tc>
      </w:tr>
      <w:tr w14:paraId="43A2C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48" w:type="dxa"/>
            <w:vAlign w:val="top"/>
          </w:tcPr>
          <w:p w14:paraId="2909548A">
            <w:pPr>
              <w:pStyle w:val="16"/>
              <w:spacing w:before="192" w:line="179" w:lineRule="auto"/>
              <w:ind w:left="322"/>
            </w:pPr>
            <w:r>
              <w:rPr>
                <w:b/>
                <w:bCs/>
                <w:spacing w:val="-3"/>
              </w:rPr>
              <w:t>二</w:t>
            </w:r>
          </w:p>
        </w:tc>
        <w:tc>
          <w:tcPr>
            <w:tcW w:w="7511" w:type="dxa"/>
            <w:vAlign w:val="top"/>
          </w:tcPr>
          <w:p w14:paraId="68A60163">
            <w:pPr>
              <w:pStyle w:val="16"/>
              <w:spacing w:before="152" w:line="220" w:lineRule="auto"/>
              <w:ind w:left="8"/>
            </w:pPr>
            <w:r>
              <w:rPr>
                <w:b/>
                <w:bCs/>
                <w:spacing w:val="-4"/>
              </w:rPr>
              <w:t>药品目录管理</w:t>
            </w:r>
          </w:p>
        </w:tc>
        <w:tc>
          <w:tcPr>
            <w:tcW w:w="780" w:type="dxa"/>
            <w:vAlign w:val="top"/>
          </w:tcPr>
          <w:p w14:paraId="1E9C423C">
            <w:pPr>
              <w:rPr>
                <w:rFonts w:ascii="Arial"/>
                <w:sz w:val="21"/>
              </w:rPr>
            </w:pPr>
          </w:p>
        </w:tc>
      </w:tr>
    </w:tbl>
    <w:p w14:paraId="2EF5C531">
      <w:pPr>
        <w:rPr>
          <w:rFonts w:ascii="Arial"/>
          <w:sz w:val="21"/>
        </w:rPr>
      </w:pPr>
    </w:p>
    <w:p w14:paraId="3501EA4C">
      <w:pPr>
        <w:rPr>
          <w:rFonts w:ascii="Arial" w:hAnsi="Arial" w:eastAsia="Arial" w:cs="Arial"/>
          <w:sz w:val="21"/>
          <w:szCs w:val="21"/>
        </w:rPr>
        <w:sectPr>
          <w:pgSz w:w="11907" w:h="16839"/>
          <w:pgMar w:top="1431" w:right="1386" w:bottom="0" w:left="1376" w:header="0" w:footer="0" w:gutter="0"/>
          <w:pgBorders>
            <w:top w:val="none" w:sz="0" w:space="0"/>
            <w:left w:val="none" w:sz="0" w:space="0"/>
            <w:bottom w:val="none" w:sz="0" w:space="0"/>
            <w:right w:val="none" w:sz="0" w:space="0"/>
          </w:pgBorders>
          <w:cols w:space="720" w:num="1"/>
        </w:sectPr>
      </w:pPr>
    </w:p>
    <w:p w14:paraId="532C4C45">
      <w:pPr>
        <w:spacing w:line="94" w:lineRule="auto"/>
        <w:rPr>
          <w:rFonts w:ascii="Arial"/>
          <w:sz w:val="2"/>
        </w:rPr>
      </w:pPr>
    </w:p>
    <w:tbl>
      <w:tblPr>
        <w:tblStyle w:val="17"/>
        <w:tblW w:w="91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8"/>
        <w:gridCol w:w="7511"/>
        <w:gridCol w:w="780"/>
      </w:tblGrid>
      <w:tr w14:paraId="1E449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3" w:hRule="atLeast"/>
        </w:trPr>
        <w:tc>
          <w:tcPr>
            <w:tcW w:w="848" w:type="dxa"/>
            <w:vAlign w:val="top"/>
          </w:tcPr>
          <w:p w14:paraId="070E683E">
            <w:pPr>
              <w:spacing w:line="350" w:lineRule="auto"/>
              <w:rPr>
                <w:rFonts w:ascii="Arial"/>
                <w:sz w:val="21"/>
              </w:rPr>
            </w:pPr>
          </w:p>
          <w:p w14:paraId="29D6B809">
            <w:pPr>
              <w:spacing w:line="350" w:lineRule="auto"/>
              <w:rPr>
                <w:rFonts w:ascii="Arial"/>
                <w:sz w:val="21"/>
              </w:rPr>
            </w:pPr>
          </w:p>
          <w:p w14:paraId="4680819E">
            <w:pPr>
              <w:spacing w:before="63" w:line="197" w:lineRule="auto"/>
              <w:ind w:left="273"/>
              <w:rPr>
                <w:rFonts w:ascii="Arial" w:hAnsi="Arial" w:eastAsia="Arial" w:cs="Arial"/>
                <w:sz w:val="22"/>
                <w:szCs w:val="22"/>
              </w:rPr>
            </w:pPr>
            <w:r>
              <w:rPr>
                <w:rFonts w:ascii="Arial" w:hAnsi="Arial" w:eastAsia="Arial" w:cs="Arial"/>
                <w:spacing w:val="-2"/>
                <w:sz w:val="22"/>
                <w:szCs w:val="22"/>
              </w:rPr>
              <w:t>2.1</w:t>
            </w:r>
          </w:p>
        </w:tc>
        <w:tc>
          <w:tcPr>
            <w:tcW w:w="7511" w:type="dxa"/>
            <w:vAlign w:val="top"/>
          </w:tcPr>
          <w:p w14:paraId="089AFD35">
            <w:pPr>
              <w:pStyle w:val="16"/>
              <w:spacing w:before="169" w:line="220" w:lineRule="auto"/>
              <w:ind w:left="11"/>
            </w:pPr>
            <w:r>
              <w:rPr>
                <w:spacing w:val="-3"/>
              </w:rPr>
              <w:t>统一药品目录</w:t>
            </w:r>
          </w:p>
          <w:p w14:paraId="7E1687EF">
            <w:pPr>
              <w:pStyle w:val="16"/>
              <w:spacing w:before="21" w:line="241" w:lineRule="auto"/>
              <w:ind w:left="6" w:right="37" w:firstLine="5"/>
            </w:pPr>
            <w:r>
              <w:rPr>
                <w:spacing w:val="-1"/>
              </w:rPr>
              <w:t>实现多层级、多维度的标准化药品目录，同时满足县域统筹到机构扩展目录的精细化管理。满足政策合规及临床需要优化的目标。医共体统一目录管理功能</w:t>
            </w:r>
            <w:r>
              <w:rPr>
                <w:spacing w:val="15"/>
              </w:rPr>
              <w:t xml:space="preserve"> </w:t>
            </w:r>
            <w:r>
              <w:rPr>
                <w:spacing w:val="3"/>
              </w:rPr>
              <w:t>,创建医共体中心（云）药房新药品目录信息，平台</w:t>
            </w:r>
            <w:r>
              <w:rPr>
                <w:spacing w:val="2"/>
              </w:rPr>
              <w:t>支持自动引入药品字典信</w:t>
            </w:r>
            <w:r>
              <w:rPr>
                <w:spacing w:val="-2"/>
              </w:rPr>
              <w:t>息，自动生成药品属性信息，新建统一药品目录。</w:t>
            </w:r>
          </w:p>
        </w:tc>
        <w:tc>
          <w:tcPr>
            <w:tcW w:w="780" w:type="dxa"/>
            <w:vAlign w:val="top"/>
          </w:tcPr>
          <w:p w14:paraId="209FCC58">
            <w:pPr>
              <w:rPr>
                <w:rFonts w:ascii="Arial"/>
                <w:sz w:val="21"/>
              </w:rPr>
            </w:pPr>
          </w:p>
        </w:tc>
      </w:tr>
      <w:tr w14:paraId="06DD9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48" w:type="dxa"/>
            <w:vAlign w:val="top"/>
          </w:tcPr>
          <w:p w14:paraId="6FBB24D4">
            <w:pPr>
              <w:spacing w:before="178" w:line="197" w:lineRule="auto"/>
              <w:ind w:left="182"/>
              <w:rPr>
                <w:rFonts w:ascii="Arial" w:hAnsi="Arial" w:eastAsia="Arial" w:cs="Arial"/>
                <w:sz w:val="22"/>
                <w:szCs w:val="22"/>
              </w:rPr>
            </w:pPr>
            <w:r>
              <w:rPr>
                <w:rFonts w:ascii="Arial" w:hAnsi="Arial" w:eastAsia="Arial" w:cs="Arial"/>
                <w:spacing w:val="-2"/>
                <w:sz w:val="22"/>
                <w:szCs w:val="22"/>
              </w:rPr>
              <w:t>2.1.1</w:t>
            </w:r>
          </w:p>
        </w:tc>
        <w:tc>
          <w:tcPr>
            <w:tcW w:w="7511" w:type="dxa"/>
            <w:vAlign w:val="top"/>
          </w:tcPr>
          <w:p w14:paraId="3ACCA9AB">
            <w:pPr>
              <w:pStyle w:val="16"/>
              <w:spacing w:before="150" w:line="220" w:lineRule="auto"/>
              <w:ind w:left="16"/>
            </w:pPr>
            <w:r>
              <w:rPr>
                <w:spacing w:val="-2"/>
              </w:rPr>
              <w:t>多级目录架构与规则配置</w:t>
            </w:r>
          </w:p>
        </w:tc>
        <w:tc>
          <w:tcPr>
            <w:tcW w:w="780" w:type="dxa"/>
            <w:vAlign w:val="top"/>
          </w:tcPr>
          <w:p w14:paraId="2B0E66F0">
            <w:pPr>
              <w:rPr>
                <w:rFonts w:ascii="Arial"/>
                <w:sz w:val="21"/>
              </w:rPr>
            </w:pPr>
          </w:p>
        </w:tc>
      </w:tr>
      <w:tr w14:paraId="28CCB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0" w:hRule="atLeast"/>
        </w:trPr>
        <w:tc>
          <w:tcPr>
            <w:tcW w:w="848" w:type="dxa"/>
            <w:vAlign w:val="top"/>
          </w:tcPr>
          <w:p w14:paraId="2813EE78">
            <w:pPr>
              <w:spacing w:line="391" w:lineRule="auto"/>
              <w:rPr>
                <w:rFonts w:ascii="Arial"/>
                <w:sz w:val="21"/>
              </w:rPr>
            </w:pPr>
          </w:p>
          <w:p w14:paraId="59FDE2DB">
            <w:pPr>
              <w:spacing w:before="63" w:line="197" w:lineRule="auto"/>
              <w:ind w:left="88"/>
              <w:rPr>
                <w:rFonts w:ascii="Arial" w:hAnsi="Arial" w:eastAsia="Arial" w:cs="Arial"/>
                <w:sz w:val="22"/>
                <w:szCs w:val="22"/>
              </w:rPr>
            </w:pPr>
            <w:r>
              <w:rPr>
                <w:rFonts w:ascii="Arial" w:hAnsi="Arial" w:eastAsia="Arial" w:cs="Arial"/>
                <w:spacing w:val="-1"/>
                <w:sz w:val="22"/>
                <w:szCs w:val="22"/>
              </w:rPr>
              <w:t>2.1.1.1</w:t>
            </w:r>
          </w:p>
        </w:tc>
        <w:tc>
          <w:tcPr>
            <w:tcW w:w="7511" w:type="dxa"/>
            <w:vAlign w:val="top"/>
          </w:tcPr>
          <w:p w14:paraId="7B828B3B">
            <w:pPr>
              <w:pStyle w:val="16"/>
              <w:spacing w:before="140" w:line="220" w:lineRule="auto"/>
              <w:ind w:left="6"/>
            </w:pPr>
            <w:r>
              <w:rPr>
                <w:spacing w:val="-9"/>
              </w:rPr>
              <w:t>层级划分：</w:t>
            </w:r>
          </w:p>
          <w:p w14:paraId="662F993D">
            <w:pPr>
              <w:pStyle w:val="16"/>
              <w:spacing w:before="24" w:line="241" w:lineRule="auto"/>
              <w:ind w:left="6" w:right="37"/>
            </w:pPr>
            <w:r>
              <w:rPr>
                <w:spacing w:val="-1"/>
              </w:rPr>
              <w:t>县域统一目录：由卫健局或药事委员会制定，涵盖基药目录、医保目录、区域集采目录等政策性目录，作为采购与报销的准入基准。</w:t>
            </w:r>
          </w:p>
        </w:tc>
        <w:tc>
          <w:tcPr>
            <w:tcW w:w="780" w:type="dxa"/>
            <w:vAlign w:val="top"/>
          </w:tcPr>
          <w:p w14:paraId="61D53B63">
            <w:pPr>
              <w:rPr>
                <w:rFonts w:ascii="Arial"/>
                <w:sz w:val="21"/>
              </w:rPr>
            </w:pPr>
          </w:p>
        </w:tc>
      </w:tr>
      <w:tr w14:paraId="251A8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0" w:hRule="atLeast"/>
        </w:trPr>
        <w:tc>
          <w:tcPr>
            <w:tcW w:w="848" w:type="dxa"/>
            <w:vAlign w:val="top"/>
          </w:tcPr>
          <w:p w14:paraId="1FF6F2B4">
            <w:pPr>
              <w:spacing w:line="391" w:lineRule="auto"/>
              <w:rPr>
                <w:rFonts w:ascii="Arial"/>
                <w:sz w:val="21"/>
              </w:rPr>
            </w:pPr>
          </w:p>
          <w:p w14:paraId="6677982E">
            <w:pPr>
              <w:spacing w:before="63" w:line="197" w:lineRule="auto"/>
              <w:ind w:left="88"/>
              <w:rPr>
                <w:rFonts w:ascii="Arial" w:hAnsi="Arial" w:eastAsia="Arial" w:cs="Arial"/>
                <w:sz w:val="22"/>
                <w:szCs w:val="22"/>
              </w:rPr>
            </w:pPr>
            <w:r>
              <w:rPr>
                <w:rFonts w:ascii="Arial" w:hAnsi="Arial" w:eastAsia="Arial" w:cs="Arial"/>
                <w:spacing w:val="-1"/>
                <w:sz w:val="22"/>
                <w:szCs w:val="22"/>
              </w:rPr>
              <w:t>2.1.1.2</w:t>
            </w:r>
          </w:p>
        </w:tc>
        <w:tc>
          <w:tcPr>
            <w:tcW w:w="7511" w:type="dxa"/>
            <w:vAlign w:val="top"/>
          </w:tcPr>
          <w:p w14:paraId="4C01AD63">
            <w:pPr>
              <w:pStyle w:val="16"/>
              <w:spacing w:before="142" w:line="237" w:lineRule="auto"/>
              <w:ind w:left="6" w:right="37" w:firstLine="1"/>
              <w:rPr>
                <w:rFonts w:ascii="Arial" w:hAnsi="Arial" w:eastAsia="Arial" w:cs="Arial"/>
              </w:rPr>
            </w:pPr>
            <w:r>
              <w:rPr>
                <w:spacing w:val="-1"/>
              </w:rPr>
              <w:t>各医院在区域统一目录基础外，结合临床需要自定义扩展院内用药目录。平台</w:t>
            </w:r>
            <w:r>
              <w:t>支持自动引入药品字典信息，自动生成药品属性信息</w:t>
            </w:r>
            <w:r>
              <w:rPr>
                <w:spacing w:val="-1"/>
              </w:rPr>
              <w:t>，建立医院拓展目录。</w:t>
            </w:r>
            <w:r>
              <w:rPr>
                <w:rFonts w:ascii="Arial" w:hAnsi="Arial" w:eastAsia="Arial" w:cs="Arial"/>
                <w:spacing w:val="-1"/>
              </w:rPr>
              <w:t>(</w:t>
            </w:r>
            <w:r>
              <w:rPr>
                <w:spacing w:val="-1"/>
              </w:rPr>
              <w:t>如抗菌药物分级目录、抗肿瘤药物专档目录</w:t>
            </w:r>
            <w:r>
              <w:rPr>
                <w:rFonts w:ascii="Arial" w:hAnsi="Arial" w:eastAsia="Arial" w:cs="Arial"/>
                <w:spacing w:val="-1"/>
              </w:rPr>
              <w:t>);</w:t>
            </w:r>
          </w:p>
        </w:tc>
        <w:tc>
          <w:tcPr>
            <w:tcW w:w="780" w:type="dxa"/>
            <w:vAlign w:val="top"/>
          </w:tcPr>
          <w:p w14:paraId="23BA512B">
            <w:pPr>
              <w:rPr>
                <w:rFonts w:ascii="Arial"/>
                <w:sz w:val="21"/>
              </w:rPr>
            </w:pPr>
          </w:p>
        </w:tc>
      </w:tr>
      <w:tr w14:paraId="73BED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848" w:type="dxa"/>
            <w:vAlign w:val="top"/>
          </w:tcPr>
          <w:p w14:paraId="3AD278F1">
            <w:pPr>
              <w:spacing w:line="281" w:lineRule="auto"/>
              <w:rPr>
                <w:rFonts w:ascii="Arial"/>
                <w:sz w:val="21"/>
              </w:rPr>
            </w:pPr>
          </w:p>
          <w:p w14:paraId="2174C65F">
            <w:pPr>
              <w:spacing w:before="63" w:line="197" w:lineRule="auto"/>
              <w:ind w:left="182"/>
              <w:rPr>
                <w:rFonts w:ascii="Arial" w:hAnsi="Arial" w:eastAsia="Arial" w:cs="Arial"/>
                <w:sz w:val="22"/>
                <w:szCs w:val="22"/>
              </w:rPr>
            </w:pPr>
            <w:r>
              <w:rPr>
                <w:rFonts w:ascii="Arial" w:hAnsi="Arial" w:eastAsia="Arial" w:cs="Arial"/>
                <w:spacing w:val="-2"/>
                <w:sz w:val="22"/>
                <w:szCs w:val="22"/>
              </w:rPr>
              <w:t>2.1.2</w:t>
            </w:r>
          </w:p>
        </w:tc>
        <w:tc>
          <w:tcPr>
            <w:tcW w:w="7511" w:type="dxa"/>
            <w:vAlign w:val="top"/>
          </w:tcPr>
          <w:p w14:paraId="6F39B6A8">
            <w:pPr>
              <w:pStyle w:val="16"/>
              <w:spacing w:before="32" w:line="206" w:lineRule="auto"/>
              <w:ind w:left="6"/>
            </w:pPr>
            <w:r>
              <w:rPr>
                <w:spacing w:val="-6"/>
              </w:rPr>
              <w:t>动态关联规则：</w:t>
            </w:r>
          </w:p>
          <w:p w14:paraId="6C6009D5">
            <w:pPr>
              <w:pStyle w:val="16"/>
              <w:spacing w:line="238" w:lineRule="auto"/>
              <w:ind w:left="23" w:right="181" w:hanging="17"/>
            </w:pPr>
            <w:r>
              <w:rPr>
                <w:spacing w:val="-1"/>
              </w:rPr>
              <w:t>支持目录间继承、覆盖与冲突检测</w:t>
            </w:r>
            <w:r>
              <w:rPr>
                <w:rFonts w:ascii="Arial" w:hAnsi="Arial" w:eastAsia="Arial" w:cs="Arial"/>
                <w:spacing w:val="-1"/>
              </w:rPr>
              <w:t>(</w:t>
            </w:r>
            <w:r>
              <w:rPr>
                <w:spacing w:val="-1"/>
              </w:rPr>
              <w:t>如区域目录禁止药品若出现在机构目录中</w:t>
            </w:r>
            <w:r>
              <w:rPr>
                <w:spacing w:val="16"/>
              </w:rPr>
              <w:t xml:space="preserve"> </w:t>
            </w:r>
            <w:r>
              <w:rPr>
                <w:spacing w:val="7"/>
              </w:rPr>
              <w:t>,系统自动标红预警</w:t>
            </w:r>
            <w:r>
              <w:rPr>
                <w:rFonts w:ascii="Arial" w:hAnsi="Arial" w:eastAsia="Arial" w:cs="Arial"/>
                <w:spacing w:val="7"/>
              </w:rPr>
              <w:t>)</w:t>
            </w:r>
            <w:r>
              <w:rPr>
                <w:spacing w:val="7"/>
              </w:rPr>
              <w:t>。</w:t>
            </w:r>
          </w:p>
        </w:tc>
        <w:tc>
          <w:tcPr>
            <w:tcW w:w="780" w:type="dxa"/>
            <w:vAlign w:val="top"/>
          </w:tcPr>
          <w:p w14:paraId="36D92506">
            <w:pPr>
              <w:rPr>
                <w:rFonts w:ascii="Arial"/>
                <w:sz w:val="21"/>
              </w:rPr>
            </w:pPr>
          </w:p>
        </w:tc>
      </w:tr>
      <w:tr w14:paraId="3F526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848" w:type="dxa"/>
            <w:vAlign w:val="top"/>
          </w:tcPr>
          <w:p w14:paraId="2780383C">
            <w:pPr>
              <w:spacing w:before="277" w:line="197" w:lineRule="auto"/>
              <w:ind w:left="273"/>
              <w:rPr>
                <w:rFonts w:ascii="Arial" w:hAnsi="Arial" w:eastAsia="Arial" w:cs="Arial"/>
                <w:sz w:val="22"/>
                <w:szCs w:val="22"/>
              </w:rPr>
            </w:pPr>
            <w:r>
              <w:rPr>
                <w:rFonts w:ascii="Arial" w:hAnsi="Arial" w:eastAsia="Arial" w:cs="Arial"/>
                <w:spacing w:val="-2"/>
                <w:sz w:val="22"/>
                <w:szCs w:val="22"/>
              </w:rPr>
              <w:t>2.2</w:t>
            </w:r>
          </w:p>
        </w:tc>
        <w:tc>
          <w:tcPr>
            <w:tcW w:w="7511" w:type="dxa"/>
            <w:vAlign w:val="top"/>
          </w:tcPr>
          <w:p w14:paraId="28808C69">
            <w:pPr>
              <w:pStyle w:val="16"/>
              <w:spacing w:before="104" w:line="242" w:lineRule="auto"/>
              <w:ind w:left="47" w:right="37" w:hanging="31"/>
            </w:pPr>
            <w:r>
              <w:rPr>
                <w:spacing w:val="-1"/>
              </w:rPr>
              <w:t>多级应用场景适配一采购准入控制，药品采购时自动匹配区域集采目录、基药</w:t>
            </w:r>
            <w:r>
              <w:rPr>
                <w:spacing w:val="-4"/>
              </w:rPr>
              <w:t>目录，非目录内药品需触发例外审批流程。</w:t>
            </w:r>
          </w:p>
        </w:tc>
        <w:tc>
          <w:tcPr>
            <w:tcW w:w="780" w:type="dxa"/>
            <w:vAlign w:val="top"/>
          </w:tcPr>
          <w:p w14:paraId="57213601">
            <w:pPr>
              <w:rPr>
                <w:rFonts w:ascii="Arial"/>
                <w:sz w:val="21"/>
              </w:rPr>
            </w:pPr>
          </w:p>
        </w:tc>
      </w:tr>
      <w:tr w14:paraId="49B07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48" w:type="dxa"/>
            <w:vAlign w:val="top"/>
          </w:tcPr>
          <w:p w14:paraId="2A2D13E8">
            <w:pPr>
              <w:spacing w:before="110" w:line="301" w:lineRule="exact"/>
              <w:ind w:left="273"/>
              <w:rPr>
                <w:rFonts w:ascii="Arial" w:hAnsi="Arial" w:eastAsia="Arial" w:cs="Arial"/>
                <w:sz w:val="22"/>
                <w:szCs w:val="22"/>
              </w:rPr>
            </w:pPr>
            <w:r>
              <w:rPr>
                <w:rFonts w:ascii="Arial" w:hAnsi="Arial" w:eastAsia="Arial" w:cs="Arial"/>
                <w:spacing w:val="-2"/>
                <w:position w:val="1"/>
                <w:sz w:val="22"/>
                <w:szCs w:val="22"/>
              </w:rPr>
              <w:t>2.3</w:t>
            </w:r>
          </w:p>
        </w:tc>
        <w:tc>
          <w:tcPr>
            <w:tcW w:w="7511" w:type="dxa"/>
            <w:vAlign w:val="top"/>
          </w:tcPr>
          <w:p w14:paraId="4A86BF81">
            <w:pPr>
              <w:pStyle w:val="16"/>
              <w:spacing w:before="150" w:line="220" w:lineRule="auto"/>
              <w:ind w:left="11"/>
            </w:pPr>
            <w:r>
              <w:rPr>
                <w:spacing w:val="-2"/>
              </w:rPr>
              <w:t>智能辅助与协同管理</w:t>
            </w:r>
          </w:p>
        </w:tc>
        <w:tc>
          <w:tcPr>
            <w:tcW w:w="780" w:type="dxa"/>
            <w:vAlign w:val="top"/>
          </w:tcPr>
          <w:p w14:paraId="767794A8">
            <w:pPr>
              <w:rPr>
                <w:rFonts w:ascii="Arial"/>
                <w:sz w:val="21"/>
              </w:rPr>
            </w:pPr>
          </w:p>
        </w:tc>
      </w:tr>
      <w:tr w14:paraId="4DB2B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48" w:type="dxa"/>
            <w:vAlign w:val="top"/>
          </w:tcPr>
          <w:p w14:paraId="626C1EAB">
            <w:pPr>
              <w:spacing w:before="111" w:line="300" w:lineRule="exact"/>
              <w:ind w:left="182"/>
              <w:rPr>
                <w:rFonts w:ascii="Arial" w:hAnsi="Arial" w:eastAsia="Arial" w:cs="Arial"/>
                <w:sz w:val="22"/>
                <w:szCs w:val="22"/>
              </w:rPr>
            </w:pPr>
            <w:r>
              <w:rPr>
                <w:rFonts w:ascii="Arial" w:hAnsi="Arial" w:eastAsia="Arial" w:cs="Arial"/>
                <w:spacing w:val="-2"/>
                <w:position w:val="1"/>
                <w:sz w:val="22"/>
                <w:szCs w:val="22"/>
              </w:rPr>
              <w:t>2.3.1</w:t>
            </w:r>
          </w:p>
        </w:tc>
        <w:tc>
          <w:tcPr>
            <w:tcW w:w="7511" w:type="dxa"/>
            <w:vAlign w:val="top"/>
          </w:tcPr>
          <w:p w14:paraId="359B3F20">
            <w:pPr>
              <w:pStyle w:val="16"/>
              <w:spacing w:before="148" w:line="220" w:lineRule="auto"/>
              <w:ind w:left="13"/>
            </w:pPr>
            <w:r>
              <w:rPr>
                <w:spacing w:val="-3"/>
              </w:rPr>
              <w:t>突检测与合规预警</w:t>
            </w:r>
          </w:p>
        </w:tc>
        <w:tc>
          <w:tcPr>
            <w:tcW w:w="780" w:type="dxa"/>
            <w:vAlign w:val="top"/>
          </w:tcPr>
          <w:p w14:paraId="3DAAF965">
            <w:pPr>
              <w:rPr>
                <w:rFonts w:ascii="Arial"/>
                <w:sz w:val="21"/>
              </w:rPr>
            </w:pPr>
          </w:p>
        </w:tc>
      </w:tr>
      <w:tr w14:paraId="6D91A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0" w:hRule="atLeast"/>
        </w:trPr>
        <w:tc>
          <w:tcPr>
            <w:tcW w:w="848" w:type="dxa"/>
            <w:vAlign w:val="top"/>
          </w:tcPr>
          <w:p w14:paraId="10BAF074">
            <w:pPr>
              <w:spacing w:line="324" w:lineRule="auto"/>
              <w:rPr>
                <w:rFonts w:ascii="Arial"/>
                <w:sz w:val="21"/>
              </w:rPr>
            </w:pPr>
          </w:p>
          <w:p w14:paraId="73E700BF">
            <w:pPr>
              <w:spacing w:before="64" w:line="300" w:lineRule="exact"/>
              <w:ind w:left="88"/>
              <w:rPr>
                <w:rFonts w:ascii="Arial" w:hAnsi="Arial" w:eastAsia="Arial" w:cs="Arial"/>
                <w:sz w:val="22"/>
                <w:szCs w:val="22"/>
              </w:rPr>
            </w:pPr>
            <w:r>
              <w:rPr>
                <w:rFonts w:ascii="Arial" w:hAnsi="Arial" w:eastAsia="Arial" w:cs="Arial"/>
                <w:spacing w:val="-1"/>
                <w:position w:val="1"/>
                <w:sz w:val="22"/>
                <w:szCs w:val="22"/>
              </w:rPr>
              <w:t>2.3.1.1</w:t>
            </w:r>
          </w:p>
        </w:tc>
        <w:tc>
          <w:tcPr>
            <w:tcW w:w="7511" w:type="dxa"/>
            <w:vAlign w:val="top"/>
          </w:tcPr>
          <w:p w14:paraId="59589559">
            <w:pPr>
              <w:pStyle w:val="16"/>
              <w:spacing w:before="141" w:line="233" w:lineRule="auto"/>
              <w:ind w:left="6" w:right="37" w:firstLine="9"/>
              <w:jc w:val="both"/>
            </w:pPr>
            <w:r>
              <w:rPr>
                <w:spacing w:val="-1"/>
              </w:rPr>
              <w:t>医院自定义新增或修改目录时，系统自动检测与统一目录的政策冲突。政策调整或目录迭代</w:t>
            </w:r>
            <w:r>
              <w:rPr>
                <w:rFonts w:ascii="Arial" w:hAnsi="Arial" w:eastAsia="Arial" w:cs="Arial"/>
                <w:spacing w:val="-1"/>
              </w:rPr>
              <w:t>(</w:t>
            </w:r>
            <w:r>
              <w:rPr>
                <w:spacing w:val="-1"/>
              </w:rPr>
              <w:t>如医保谈判药品新增</w:t>
            </w:r>
            <w:r>
              <w:rPr>
                <w:rFonts w:ascii="Arial" w:hAnsi="Arial" w:eastAsia="Arial" w:cs="Arial"/>
                <w:spacing w:val="-1"/>
              </w:rPr>
              <w:t>)</w:t>
            </w:r>
            <w:r>
              <w:rPr>
                <w:spacing w:val="-1"/>
              </w:rPr>
              <w:t>时，区域平台一键下发更新，各医院目录</w:t>
            </w:r>
            <w:r>
              <w:rPr>
                <w:spacing w:val="-4"/>
              </w:rPr>
              <w:t>自动同步并保留历史版本追溯；</w:t>
            </w:r>
          </w:p>
        </w:tc>
        <w:tc>
          <w:tcPr>
            <w:tcW w:w="780" w:type="dxa"/>
            <w:vAlign w:val="top"/>
          </w:tcPr>
          <w:p w14:paraId="0AF161D6">
            <w:pPr>
              <w:spacing w:line="398" w:lineRule="auto"/>
              <w:rPr>
                <w:rFonts w:ascii="Arial"/>
                <w:sz w:val="21"/>
              </w:rPr>
            </w:pPr>
          </w:p>
          <w:p w14:paraId="04749CA4">
            <w:pPr>
              <w:spacing w:before="64" w:line="191" w:lineRule="auto"/>
              <w:ind w:left="311"/>
              <w:rPr>
                <w:rFonts w:hint="eastAsia" w:ascii="Arial" w:hAnsi="Arial" w:eastAsia="宋体" w:cs="Arial"/>
                <w:sz w:val="22"/>
                <w:szCs w:val="22"/>
                <w:lang w:eastAsia="zh-CN"/>
              </w:rPr>
            </w:pPr>
          </w:p>
        </w:tc>
      </w:tr>
      <w:tr w14:paraId="0B31B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848" w:type="dxa"/>
            <w:vAlign w:val="top"/>
          </w:tcPr>
          <w:p w14:paraId="6D0E1161">
            <w:pPr>
              <w:spacing w:line="340" w:lineRule="auto"/>
              <w:rPr>
                <w:rFonts w:ascii="Arial"/>
                <w:sz w:val="21"/>
              </w:rPr>
            </w:pPr>
          </w:p>
          <w:p w14:paraId="1E31A52B">
            <w:pPr>
              <w:spacing w:line="340" w:lineRule="auto"/>
              <w:rPr>
                <w:rFonts w:ascii="Arial"/>
                <w:sz w:val="21"/>
              </w:rPr>
            </w:pPr>
          </w:p>
          <w:p w14:paraId="6A51F3A1">
            <w:pPr>
              <w:spacing w:before="63" w:line="300" w:lineRule="exact"/>
              <w:ind w:left="88"/>
              <w:rPr>
                <w:rFonts w:ascii="Arial" w:hAnsi="Arial" w:eastAsia="Arial" w:cs="Arial"/>
                <w:sz w:val="22"/>
                <w:szCs w:val="22"/>
              </w:rPr>
            </w:pPr>
            <w:r>
              <w:rPr>
                <w:rFonts w:ascii="Arial" w:hAnsi="Arial" w:eastAsia="Arial" w:cs="Arial"/>
                <w:spacing w:val="-1"/>
                <w:position w:val="1"/>
                <w:sz w:val="22"/>
                <w:szCs w:val="22"/>
              </w:rPr>
              <w:t>2.3.1.2</w:t>
            </w:r>
          </w:p>
        </w:tc>
        <w:tc>
          <w:tcPr>
            <w:tcW w:w="7511" w:type="dxa"/>
            <w:vAlign w:val="top"/>
          </w:tcPr>
          <w:p w14:paraId="6B4705DF">
            <w:pPr>
              <w:spacing w:line="286" w:lineRule="auto"/>
              <w:rPr>
                <w:rFonts w:ascii="Arial"/>
                <w:sz w:val="21"/>
              </w:rPr>
            </w:pPr>
          </w:p>
          <w:p w14:paraId="1CF1950E">
            <w:pPr>
              <w:pStyle w:val="16"/>
              <w:spacing w:before="71"/>
              <w:ind w:left="6" w:right="37"/>
              <w:jc w:val="both"/>
            </w:pPr>
            <w:r>
              <w:rPr>
                <w:spacing w:val="-1"/>
              </w:rPr>
              <w:t>支持药品基础字典属性维护管理，提供完整药品数据字典，药品数据字典应包含所有医保药品库数据、国内上市药品数据、海外药品数据、新特药药品数据</w:t>
            </w:r>
            <w:r>
              <w:rPr>
                <w:spacing w:val="15"/>
              </w:rPr>
              <w:t xml:space="preserve"> </w:t>
            </w:r>
            <w:r>
              <w:rPr>
                <w:spacing w:val="-1"/>
              </w:rPr>
              <w:t>、集采药品数据、国家谈判药品数据。支持医共体中心（云）药房药品属性维</w:t>
            </w:r>
            <w:r>
              <w:rPr>
                <w:spacing w:val="-2"/>
              </w:rPr>
              <w:t>护管理，药品字典提供完整的药品属性信息。</w:t>
            </w:r>
          </w:p>
        </w:tc>
        <w:tc>
          <w:tcPr>
            <w:tcW w:w="780" w:type="dxa"/>
            <w:vAlign w:val="top"/>
          </w:tcPr>
          <w:p w14:paraId="256D054B">
            <w:pPr>
              <w:spacing w:line="251" w:lineRule="auto"/>
              <w:rPr>
                <w:rFonts w:ascii="Arial"/>
                <w:sz w:val="21"/>
              </w:rPr>
            </w:pPr>
          </w:p>
          <w:p w14:paraId="556B3DC4">
            <w:pPr>
              <w:spacing w:line="251" w:lineRule="auto"/>
              <w:rPr>
                <w:rFonts w:ascii="Arial"/>
                <w:sz w:val="21"/>
              </w:rPr>
            </w:pPr>
          </w:p>
          <w:p w14:paraId="4EDA8E63">
            <w:pPr>
              <w:spacing w:line="252" w:lineRule="auto"/>
              <w:rPr>
                <w:rFonts w:ascii="Arial"/>
                <w:sz w:val="21"/>
              </w:rPr>
            </w:pPr>
          </w:p>
          <w:p w14:paraId="68ABC134">
            <w:pPr>
              <w:spacing w:before="63" w:line="191" w:lineRule="auto"/>
              <w:ind w:left="311"/>
              <w:rPr>
                <w:rFonts w:hint="eastAsia" w:ascii="Arial" w:hAnsi="Arial" w:eastAsia="宋体" w:cs="Arial"/>
                <w:sz w:val="22"/>
                <w:szCs w:val="22"/>
                <w:lang w:eastAsia="zh-CN"/>
              </w:rPr>
            </w:pPr>
          </w:p>
        </w:tc>
      </w:tr>
      <w:tr w14:paraId="6894E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848" w:type="dxa"/>
            <w:vAlign w:val="top"/>
          </w:tcPr>
          <w:p w14:paraId="3CB0D30D">
            <w:pPr>
              <w:spacing w:before="210" w:line="300" w:lineRule="exact"/>
              <w:ind w:left="88"/>
              <w:rPr>
                <w:rFonts w:ascii="Arial" w:hAnsi="Arial" w:eastAsia="Arial" w:cs="Arial"/>
                <w:sz w:val="22"/>
                <w:szCs w:val="22"/>
              </w:rPr>
            </w:pPr>
            <w:r>
              <w:rPr>
                <w:rFonts w:ascii="Arial" w:hAnsi="Arial" w:eastAsia="Arial" w:cs="Arial"/>
                <w:spacing w:val="-1"/>
                <w:position w:val="1"/>
                <w:sz w:val="22"/>
                <w:szCs w:val="22"/>
              </w:rPr>
              <w:t>2.3.1.3</w:t>
            </w:r>
          </w:p>
        </w:tc>
        <w:tc>
          <w:tcPr>
            <w:tcW w:w="7511" w:type="dxa"/>
            <w:vAlign w:val="top"/>
          </w:tcPr>
          <w:p w14:paraId="70C66050">
            <w:pPr>
              <w:pStyle w:val="16"/>
              <w:spacing w:before="107"/>
              <w:ind w:left="8" w:right="37" w:hanging="2"/>
            </w:pPr>
            <w:r>
              <w:rPr>
                <w:spacing w:val="-1"/>
              </w:rPr>
              <w:t>支持各个医疗机构查询平台统一的目录，以及各自医疗机构跟平台的对照目录</w:t>
            </w:r>
            <w:r>
              <w:rPr>
                <w:spacing w:val="-2"/>
              </w:rPr>
              <w:t>关系，支持个性化查询和导出功能。</w:t>
            </w:r>
          </w:p>
        </w:tc>
        <w:tc>
          <w:tcPr>
            <w:tcW w:w="780" w:type="dxa"/>
            <w:vAlign w:val="top"/>
          </w:tcPr>
          <w:p w14:paraId="2F555B7D">
            <w:pPr>
              <w:rPr>
                <w:rFonts w:ascii="Arial"/>
                <w:sz w:val="21"/>
              </w:rPr>
            </w:pPr>
          </w:p>
        </w:tc>
      </w:tr>
      <w:tr w14:paraId="0C471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848" w:type="dxa"/>
            <w:vAlign w:val="top"/>
          </w:tcPr>
          <w:p w14:paraId="4F96EAAC">
            <w:pPr>
              <w:pStyle w:val="16"/>
              <w:spacing w:before="232" w:line="237" w:lineRule="auto"/>
              <w:ind w:left="319"/>
            </w:pPr>
            <w:r>
              <w:rPr>
                <w:b/>
                <w:bCs/>
                <w:spacing w:val="-3"/>
              </w:rPr>
              <w:t>三</w:t>
            </w:r>
          </w:p>
        </w:tc>
        <w:tc>
          <w:tcPr>
            <w:tcW w:w="7511" w:type="dxa"/>
            <w:vAlign w:val="top"/>
          </w:tcPr>
          <w:p w14:paraId="4384EF2B">
            <w:pPr>
              <w:pStyle w:val="16"/>
              <w:spacing w:before="232" w:line="220" w:lineRule="auto"/>
              <w:ind w:left="8"/>
            </w:pPr>
            <w:r>
              <w:rPr>
                <w:b/>
                <w:bCs/>
                <w:spacing w:val="-4"/>
              </w:rPr>
              <w:t>药品管理</w:t>
            </w:r>
          </w:p>
        </w:tc>
        <w:tc>
          <w:tcPr>
            <w:tcW w:w="780" w:type="dxa"/>
            <w:vAlign w:val="top"/>
          </w:tcPr>
          <w:p w14:paraId="511403C5">
            <w:pPr>
              <w:rPr>
                <w:rFonts w:ascii="Arial"/>
                <w:sz w:val="21"/>
              </w:rPr>
            </w:pPr>
          </w:p>
        </w:tc>
      </w:tr>
      <w:tr w14:paraId="46D3A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48" w:type="dxa"/>
            <w:vAlign w:val="top"/>
          </w:tcPr>
          <w:p w14:paraId="5FBE68B2">
            <w:pPr>
              <w:spacing w:before="135" w:line="301" w:lineRule="exact"/>
              <w:ind w:left="276"/>
              <w:rPr>
                <w:rFonts w:ascii="Arial" w:hAnsi="Arial" w:eastAsia="Arial" w:cs="Arial"/>
                <w:sz w:val="22"/>
                <w:szCs w:val="22"/>
              </w:rPr>
            </w:pPr>
            <w:r>
              <w:rPr>
                <w:rFonts w:ascii="Arial" w:hAnsi="Arial" w:eastAsia="Arial" w:cs="Arial"/>
                <w:spacing w:val="-3"/>
                <w:position w:val="1"/>
                <w:sz w:val="22"/>
                <w:szCs w:val="22"/>
              </w:rPr>
              <w:t>3.1</w:t>
            </w:r>
          </w:p>
        </w:tc>
        <w:tc>
          <w:tcPr>
            <w:tcW w:w="7511" w:type="dxa"/>
            <w:vAlign w:val="top"/>
          </w:tcPr>
          <w:p w14:paraId="63A10092">
            <w:pPr>
              <w:pStyle w:val="16"/>
              <w:spacing w:before="34" w:line="221" w:lineRule="auto"/>
              <w:ind w:left="8" w:right="37" w:hanging="2"/>
            </w:pPr>
            <w:r>
              <w:rPr>
                <w:spacing w:val="-1"/>
              </w:rPr>
              <w:t>通过标准化编码体系与智能匹配技术，解决不同医院因药品名称、规格、厂家差异导致的数据孤岛问题，实现跨机构药品信息的</w:t>
            </w:r>
            <w:r>
              <w:rPr>
                <w:spacing w:val="-2"/>
              </w:rPr>
              <w:t>精准关联与协同管理。</w:t>
            </w:r>
          </w:p>
        </w:tc>
        <w:tc>
          <w:tcPr>
            <w:tcW w:w="780" w:type="dxa"/>
            <w:vAlign w:val="top"/>
          </w:tcPr>
          <w:p w14:paraId="283DA05D">
            <w:pPr>
              <w:rPr>
                <w:rFonts w:ascii="Arial"/>
                <w:sz w:val="21"/>
              </w:rPr>
            </w:pPr>
          </w:p>
        </w:tc>
      </w:tr>
      <w:tr w14:paraId="4A8CC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48" w:type="dxa"/>
            <w:vAlign w:val="top"/>
          </w:tcPr>
          <w:p w14:paraId="0D2418DC">
            <w:pPr>
              <w:spacing w:before="113" w:line="301" w:lineRule="exact"/>
              <w:ind w:left="185"/>
              <w:rPr>
                <w:rFonts w:ascii="Arial" w:hAnsi="Arial" w:eastAsia="Arial" w:cs="Arial"/>
                <w:sz w:val="22"/>
                <w:szCs w:val="22"/>
              </w:rPr>
            </w:pPr>
            <w:r>
              <w:rPr>
                <w:rFonts w:ascii="Arial" w:hAnsi="Arial" w:eastAsia="Arial" w:cs="Arial"/>
                <w:spacing w:val="-2"/>
                <w:position w:val="1"/>
                <w:sz w:val="22"/>
                <w:szCs w:val="22"/>
              </w:rPr>
              <w:t>3.1.1</w:t>
            </w:r>
          </w:p>
        </w:tc>
        <w:tc>
          <w:tcPr>
            <w:tcW w:w="7511" w:type="dxa"/>
            <w:vAlign w:val="top"/>
          </w:tcPr>
          <w:p w14:paraId="5A3FE47D">
            <w:pPr>
              <w:pStyle w:val="16"/>
              <w:spacing w:before="150" w:line="220" w:lineRule="auto"/>
              <w:ind w:left="11"/>
            </w:pPr>
            <w:r>
              <w:rPr>
                <w:spacing w:val="-1"/>
              </w:rPr>
              <w:t>统一药品主数据与各医院对照映射（县域药品主数据）</w:t>
            </w:r>
          </w:p>
        </w:tc>
        <w:tc>
          <w:tcPr>
            <w:tcW w:w="780" w:type="dxa"/>
            <w:vAlign w:val="top"/>
          </w:tcPr>
          <w:p w14:paraId="1D15F847">
            <w:pPr>
              <w:rPr>
                <w:rFonts w:ascii="Arial"/>
                <w:sz w:val="21"/>
              </w:rPr>
            </w:pPr>
          </w:p>
        </w:tc>
      </w:tr>
      <w:tr w14:paraId="4139C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848" w:type="dxa"/>
            <w:vAlign w:val="top"/>
          </w:tcPr>
          <w:p w14:paraId="2057E2F1">
            <w:pPr>
              <w:spacing w:line="270" w:lineRule="auto"/>
              <w:rPr>
                <w:rFonts w:ascii="Arial"/>
                <w:sz w:val="21"/>
              </w:rPr>
            </w:pPr>
          </w:p>
          <w:p w14:paraId="7D15540E">
            <w:pPr>
              <w:spacing w:before="63" w:line="300" w:lineRule="exact"/>
              <w:ind w:left="91"/>
              <w:rPr>
                <w:rFonts w:ascii="Arial" w:hAnsi="Arial" w:eastAsia="Arial" w:cs="Arial"/>
                <w:sz w:val="22"/>
                <w:szCs w:val="22"/>
              </w:rPr>
            </w:pPr>
            <w:r>
              <w:rPr>
                <w:rFonts w:ascii="Arial" w:hAnsi="Arial" w:eastAsia="Arial" w:cs="Arial"/>
                <w:spacing w:val="-2"/>
                <w:position w:val="1"/>
                <w:sz w:val="22"/>
                <w:szCs w:val="22"/>
              </w:rPr>
              <w:t>3.1.1.1</w:t>
            </w:r>
          </w:p>
        </w:tc>
        <w:tc>
          <w:tcPr>
            <w:tcW w:w="7511" w:type="dxa"/>
            <w:vAlign w:val="top"/>
          </w:tcPr>
          <w:p w14:paraId="1327E2B3">
            <w:pPr>
              <w:pStyle w:val="16"/>
              <w:spacing w:before="193" w:line="248" w:lineRule="auto"/>
              <w:ind w:left="6" w:right="152" w:firstLine="1"/>
            </w:pPr>
            <w:r>
              <w:rPr>
                <w:spacing w:val="-2"/>
              </w:rPr>
              <w:t>建立县域级药品主数据库，以国家药品编码</w:t>
            </w:r>
            <w:r>
              <w:rPr>
                <w:rFonts w:ascii="Arial" w:hAnsi="Arial" w:eastAsia="Arial" w:cs="Arial"/>
                <w:spacing w:val="-2"/>
              </w:rPr>
              <w:t>(</w:t>
            </w:r>
            <w:r>
              <w:rPr>
                <w:spacing w:val="-2"/>
              </w:rPr>
              <w:t>如医保编码、国药准字</w:t>
            </w:r>
            <w:r>
              <w:rPr>
                <w:rFonts w:ascii="Arial" w:hAnsi="Arial" w:eastAsia="Arial" w:cs="Arial"/>
                <w:spacing w:val="-2"/>
              </w:rPr>
              <w:t>)</w:t>
            </w:r>
            <w:r>
              <w:rPr>
                <w:spacing w:val="-2"/>
              </w:rPr>
              <w:t>为核心，整合药品通用名、剂型、规格、生产厂家等标准化信息。</w:t>
            </w:r>
          </w:p>
        </w:tc>
        <w:tc>
          <w:tcPr>
            <w:tcW w:w="780" w:type="dxa"/>
            <w:vAlign w:val="top"/>
          </w:tcPr>
          <w:p w14:paraId="7ED02A8F">
            <w:pPr>
              <w:rPr>
                <w:rFonts w:ascii="Arial"/>
                <w:sz w:val="21"/>
              </w:rPr>
            </w:pPr>
          </w:p>
        </w:tc>
      </w:tr>
    </w:tbl>
    <w:p w14:paraId="58B8084D">
      <w:pPr>
        <w:rPr>
          <w:rFonts w:ascii="Arial"/>
          <w:sz w:val="21"/>
        </w:rPr>
      </w:pPr>
    </w:p>
    <w:p w14:paraId="112ECB54">
      <w:pPr>
        <w:rPr>
          <w:rFonts w:ascii="Arial" w:hAnsi="Arial" w:eastAsia="Arial" w:cs="Arial"/>
          <w:sz w:val="21"/>
          <w:szCs w:val="21"/>
        </w:rPr>
        <w:sectPr>
          <w:pgSz w:w="11907" w:h="16839"/>
          <w:pgMar w:top="1431" w:right="1386" w:bottom="0" w:left="1376" w:header="0" w:footer="0" w:gutter="0"/>
          <w:pgBorders>
            <w:top w:val="none" w:sz="0" w:space="0"/>
            <w:left w:val="none" w:sz="0" w:space="0"/>
            <w:bottom w:val="none" w:sz="0" w:space="0"/>
            <w:right w:val="none" w:sz="0" w:space="0"/>
          </w:pgBorders>
          <w:cols w:space="720" w:num="1"/>
        </w:sectPr>
      </w:pPr>
    </w:p>
    <w:p w14:paraId="473D38F4">
      <w:pPr>
        <w:spacing w:line="94" w:lineRule="auto"/>
        <w:rPr>
          <w:rFonts w:ascii="Arial"/>
          <w:sz w:val="2"/>
        </w:rPr>
      </w:pPr>
    </w:p>
    <w:tbl>
      <w:tblPr>
        <w:tblStyle w:val="17"/>
        <w:tblW w:w="91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8"/>
        <w:gridCol w:w="7511"/>
        <w:gridCol w:w="780"/>
      </w:tblGrid>
      <w:tr w14:paraId="4FD96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848" w:type="dxa"/>
            <w:vAlign w:val="top"/>
          </w:tcPr>
          <w:p w14:paraId="7426C369">
            <w:pPr>
              <w:spacing w:line="325" w:lineRule="auto"/>
              <w:rPr>
                <w:rFonts w:ascii="Arial"/>
                <w:sz w:val="21"/>
              </w:rPr>
            </w:pPr>
          </w:p>
          <w:p w14:paraId="1C4DA775">
            <w:pPr>
              <w:spacing w:before="63" w:line="300" w:lineRule="exact"/>
              <w:ind w:left="91"/>
              <w:rPr>
                <w:rFonts w:ascii="Arial" w:hAnsi="Arial" w:eastAsia="Arial" w:cs="Arial"/>
                <w:sz w:val="22"/>
                <w:szCs w:val="22"/>
              </w:rPr>
            </w:pPr>
            <w:r>
              <w:rPr>
                <w:rFonts w:ascii="Arial" w:hAnsi="Arial" w:eastAsia="Arial" w:cs="Arial"/>
                <w:spacing w:val="-2"/>
                <w:position w:val="1"/>
                <w:sz w:val="22"/>
                <w:szCs w:val="22"/>
              </w:rPr>
              <w:t>3.1.1.2</w:t>
            </w:r>
          </w:p>
        </w:tc>
        <w:tc>
          <w:tcPr>
            <w:tcW w:w="7511" w:type="dxa"/>
            <w:vAlign w:val="top"/>
          </w:tcPr>
          <w:p w14:paraId="21378378">
            <w:pPr>
              <w:pStyle w:val="16"/>
              <w:spacing w:before="246" w:line="248" w:lineRule="auto"/>
              <w:ind w:left="6" w:right="105" w:firstLine="2"/>
            </w:pPr>
            <w:r>
              <w:t>各医院将院内药品目录</w:t>
            </w:r>
            <w:r>
              <w:rPr>
                <w:rFonts w:ascii="Arial" w:hAnsi="Arial" w:eastAsia="Arial" w:cs="Arial"/>
              </w:rPr>
              <w:t>(</w:t>
            </w:r>
            <w:r>
              <w:t>含院内编码、商品</w:t>
            </w:r>
            <w:r>
              <w:rPr>
                <w:spacing w:val="-1"/>
              </w:rPr>
              <w:t>名、规格等</w:t>
            </w:r>
            <w:r>
              <w:rPr>
                <w:rFonts w:ascii="Arial" w:hAnsi="Arial" w:eastAsia="Arial" w:cs="Arial"/>
                <w:spacing w:val="-1"/>
              </w:rPr>
              <w:t>)</w:t>
            </w:r>
            <w:r>
              <w:rPr>
                <w:spacing w:val="-1"/>
              </w:rPr>
              <w:t>与县域主数据池自动或</w:t>
            </w:r>
            <w:r>
              <w:rPr>
                <w:spacing w:val="-2"/>
              </w:rPr>
              <w:t>手动关联，形成</w:t>
            </w:r>
            <w:r>
              <w:rPr>
                <w:rFonts w:ascii="Arial" w:hAnsi="Arial" w:eastAsia="Arial" w:cs="Arial"/>
                <w:spacing w:val="-2"/>
              </w:rPr>
              <w:t>“</w:t>
            </w:r>
            <w:r>
              <w:rPr>
                <w:spacing w:val="-2"/>
              </w:rPr>
              <w:t>机构本地编码</w:t>
            </w:r>
            <w:r>
              <w:rPr>
                <w:rFonts w:ascii="Arial" w:hAnsi="Arial" w:eastAsia="Arial" w:cs="Arial"/>
                <w:spacing w:val="-2"/>
              </w:rPr>
              <w:t>=</w:t>
            </w:r>
            <w:r>
              <w:rPr>
                <w:spacing w:val="-2"/>
              </w:rPr>
              <w:t>区域标准编码</w:t>
            </w:r>
            <w:r>
              <w:rPr>
                <w:rFonts w:ascii="Arial" w:hAnsi="Arial" w:eastAsia="Arial" w:cs="Arial"/>
                <w:spacing w:val="-2"/>
              </w:rPr>
              <w:t>”</w:t>
            </w:r>
            <w:r>
              <w:rPr>
                <w:rFonts w:ascii="Arial" w:hAnsi="Arial" w:eastAsia="Arial" w:cs="Arial"/>
                <w:spacing w:val="-16"/>
              </w:rPr>
              <w:t xml:space="preserve"> </w:t>
            </w:r>
            <w:r>
              <w:rPr>
                <w:spacing w:val="-2"/>
              </w:rPr>
              <w:t>的对照关系。</w:t>
            </w:r>
          </w:p>
        </w:tc>
        <w:tc>
          <w:tcPr>
            <w:tcW w:w="780" w:type="dxa"/>
            <w:vAlign w:val="top"/>
          </w:tcPr>
          <w:p w14:paraId="416B89E7">
            <w:pPr>
              <w:spacing w:line="398" w:lineRule="auto"/>
              <w:rPr>
                <w:rFonts w:ascii="Arial"/>
                <w:sz w:val="21"/>
              </w:rPr>
            </w:pPr>
          </w:p>
          <w:p w14:paraId="4DC141F8">
            <w:pPr>
              <w:spacing w:before="64" w:line="191" w:lineRule="auto"/>
              <w:ind w:left="311"/>
              <w:rPr>
                <w:rFonts w:hint="eastAsia" w:ascii="Arial" w:hAnsi="Arial" w:eastAsia="宋体" w:cs="Arial"/>
                <w:sz w:val="22"/>
                <w:szCs w:val="22"/>
                <w:lang w:eastAsia="zh-CN"/>
              </w:rPr>
            </w:pPr>
          </w:p>
        </w:tc>
      </w:tr>
      <w:tr w14:paraId="458E9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848" w:type="dxa"/>
            <w:vAlign w:val="top"/>
          </w:tcPr>
          <w:p w14:paraId="50E53EF1">
            <w:pPr>
              <w:spacing w:before="187" w:line="301" w:lineRule="exact"/>
              <w:ind w:left="185"/>
              <w:rPr>
                <w:rFonts w:ascii="Arial" w:hAnsi="Arial" w:eastAsia="Arial" w:cs="Arial"/>
                <w:sz w:val="22"/>
                <w:szCs w:val="22"/>
              </w:rPr>
            </w:pPr>
            <w:r>
              <w:rPr>
                <w:rFonts w:ascii="Arial" w:hAnsi="Arial" w:eastAsia="Arial" w:cs="Arial"/>
                <w:spacing w:val="-2"/>
                <w:position w:val="1"/>
                <w:sz w:val="22"/>
                <w:szCs w:val="22"/>
              </w:rPr>
              <w:t>3.1.2</w:t>
            </w:r>
          </w:p>
        </w:tc>
        <w:tc>
          <w:tcPr>
            <w:tcW w:w="7511" w:type="dxa"/>
            <w:vAlign w:val="top"/>
          </w:tcPr>
          <w:p w14:paraId="57691BBE">
            <w:pPr>
              <w:pStyle w:val="16"/>
              <w:spacing w:before="227" w:line="220" w:lineRule="auto"/>
              <w:ind w:left="6"/>
            </w:pPr>
            <w:r>
              <w:rPr>
                <w:spacing w:val="-1"/>
              </w:rPr>
              <w:t>动态同步与冲突管理一变更实时联动</w:t>
            </w:r>
          </w:p>
        </w:tc>
        <w:tc>
          <w:tcPr>
            <w:tcW w:w="780" w:type="dxa"/>
            <w:vAlign w:val="top"/>
          </w:tcPr>
          <w:p w14:paraId="7AED4F3A">
            <w:pPr>
              <w:rPr>
                <w:rFonts w:ascii="Arial"/>
                <w:sz w:val="21"/>
              </w:rPr>
            </w:pPr>
          </w:p>
        </w:tc>
      </w:tr>
      <w:tr w14:paraId="73A27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48" w:type="dxa"/>
            <w:vAlign w:val="top"/>
          </w:tcPr>
          <w:p w14:paraId="3A727D72">
            <w:pPr>
              <w:spacing w:before="132" w:line="300" w:lineRule="exact"/>
              <w:ind w:left="91"/>
              <w:rPr>
                <w:rFonts w:ascii="Arial" w:hAnsi="Arial" w:eastAsia="Arial" w:cs="Arial"/>
                <w:sz w:val="22"/>
                <w:szCs w:val="22"/>
              </w:rPr>
            </w:pPr>
            <w:r>
              <w:rPr>
                <w:rFonts w:ascii="Arial" w:hAnsi="Arial" w:eastAsia="Arial" w:cs="Arial"/>
                <w:spacing w:val="-2"/>
                <w:position w:val="1"/>
                <w:sz w:val="22"/>
                <w:szCs w:val="22"/>
              </w:rPr>
              <w:t>3.1.2.1</w:t>
            </w:r>
          </w:p>
        </w:tc>
        <w:tc>
          <w:tcPr>
            <w:tcW w:w="7511" w:type="dxa"/>
            <w:vAlign w:val="top"/>
          </w:tcPr>
          <w:p w14:paraId="28F5966C">
            <w:pPr>
              <w:pStyle w:val="16"/>
              <w:spacing w:line="235" w:lineRule="auto"/>
              <w:ind w:left="41" w:right="106" w:hanging="22"/>
            </w:pPr>
            <w:r>
              <w:rPr>
                <w:spacing w:val="-1"/>
              </w:rPr>
              <w:t>当县域主数据更新</w:t>
            </w:r>
            <w:r>
              <w:rPr>
                <w:rFonts w:ascii="Arial" w:hAnsi="Arial" w:eastAsia="Arial" w:cs="Arial"/>
                <w:spacing w:val="-1"/>
              </w:rPr>
              <w:t>(</w:t>
            </w:r>
            <w:r>
              <w:rPr>
                <w:spacing w:val="-1"/>
              </w:rPr>
              <w:t>如新增国谈药品、规格调整</w:t>
            </w:r>
            <w:r>
              <w:rPr>
                <w:rFonts w:ascii="Arial" w:hAnsi="Arial" w:eastAsia="Arial" w:cs="Arial"/>
                <w:spacing w:val="-1"/>
              </w:rPr>
              <w:t>)</w:t>
            </w:r>
            <w:r>
              <w:rPr>
                <w:spacing w:val="-1"/>
              </w:rPr>
              <w:t>或机构本地目录变动时，系统</w:t>
            </w:r>
            <w:r>
              <w:rPr>
                <w:spacing w:val="-3"/>
              </w:rPr>
              <w:t>自动触发映射关系复审，避免信息滞后。</w:t>
            </w:r>
          </w:p>
        </w:tc>
        <w:tc>
          <w:tcPr>
            <w:tcW w:w="780" w:type="dxa"/>
            <w:vAlign w:val="top"/>
          </w:tcPr>
          <w:p w14:paraId="132CD140">
            <w:pPr>
              <w:rPr>
                <w:rFonts w:ascii="Arial"/>
                <w:sz w:val="21"/>
              </w:rPr>
            </w:pPr>
          </w:p>
        </w:tc>
      </w:tr>
      <w:tr w14:paraId="0EDDC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48" w:type="dxa"/>
            <w:vAlign w:val="top"/>
          </w:tcPr>
          <w:p w14:paraId="5E093F99">
            <w:pPr>
              <w:spacing w:before="108" w:line="300" w:lineRule="exact"/>
              <w:ind w:left="91"/>
              <w:rPr>
                <w:rFonts w:ascii="Arial" w:hAnsi="Arial" w:eastAsia="Arial" w:cs="Arial"/>
                <w:sz w:val="22"/>
                <w:szCs w:val="22"/>
              </w:rPr>
            </w:pPr>
            <w:r>
              <w:rPr>
                <w:rFonts w:ascii="Arial" w:hAnsi="Arial" w:eastAsia="Arial" w:cs="Arial"/>
                <w:spacing w:val="-2"/>
                <w:position w:val="1"/>
                <w:sz w:val="22"/>
                <w:szCs w:val="22"/>
              </w:rPr>
              <w:t>3.1.2.2</w:t>
            </w:r>
          </w:p>
        </w:tc>
        <w:tc>
          <w:tcPr>
            <w:tcW w:w="7511" w:type="dxa"/>
            <w:vAlign w:val="top"/>
          </w:tcPr>
          <w:p w14:paraId="2469708D">
            <w:pPr>
              <w:pStyle w:val="16"/>
              <w:spacing w:before="147" w:line="219" w:lineRule="auto"/>
              <w:ind w:left="5"/>
            </w:pPr>
            <w:r>
              <w:rPr>
                <w:spacing w:val="-1"/>
              </w:rPr>
              <w:t>机构药品停用或替换时，自动解绑旧映射并</w:t>
            </w:r>
            <w:r>
              <w:rPr>
                <w:spacing w:val="-2"/>
              </w:rPr>
              <w:t>推荐新关联。</w:t>
            </w:r>
          </w:p>
        </w:tc>
        <w:tc>
          <w:tcPr>
            <w:tcW w:w="780" w:type="dxa"/>
            <w:vAlign w:val="top"/>
          </w:tcPr>
          <w:p w14:paraId="2F7F68B3">
            <w:pPr>
              <w:rPr>
                <w:rFonts w:ascii="Arial"/>
                <w:sz w:val="21"/>
              </w:rPr>
            </w:pPr>
          </w:p>
        </w:tc>
      </w:tr>
      <w:tr w14:paraId="5CFCB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48" w:type="dxa"/>
            <w:vAlign w:val="top"/>
          </w:tcPr>
          <w:p w14:paraId="1207FD62">
            <w:pPr>
              <w:spacing w:before="108" w:line="300" w:lineRule="exact"/>
              <w:ind w:left="185"/>
              <w:rPr>
                <w:rFonts w:ascii="Arial" w:hAnsi="Arial" w:eastAsia="Arial" w:cs="Arial"/>
                <w:sz w:val="22"/>
                <w:szCs w:val="22"/>
              </w:rPr>
            </w:pPr>
            <w:r>
              <w:rPr>
                <w:rFonts w:ascii="Arial" w:hAnsi="Arial" w:eastAsia="Arial" w:cs="Arial"/>
                <w:spacing w:val="-2"/>
                <w:position w:val="1"/>
                <w:sz w:val="22"/>
                <w:szCs w:val="22"/>
              </w:rPr>
              <w:t>3.1.3</w:t>
            </w:r>
          </w:p>
        </w:tc>
        <w:tc>
          <w:tcPr>
            <w:tcW w:w="7511" w:type="dxa"/>
            <w:vAlign w:val="top"/>
          </w:tcPr>
          <w:p w14:paraId="097D7F89">
            <w:pPr>
              <w:pStyle w:val="16"/>
              <w:spacing w:before="148" w:line="220" w:lineRule="auto"/>
              <w:ind w:left="6"/>
            </w:pPr>
            <w:r>
              <w:rPr>
                <w:spacing w:val="-2"/>
              </w:rPr>
              <w:t>冲突预警与处理</w:t>
            </w:r>
          </w:p>
        </w:tc>
        <w:tc>
          <w:tcPr>
            <w:tcW w:w="780" w:type="dxa"/>
            <w:vAlign w:val="top"/>
          </w:tcPr>
          <w:p w14:paraId="32DA1F7C">
            <w:pPr>
              <w:rPr>
                <w:rFonts w:ascii="Arial"/>
                <w:sz w:val="21"/>
              </w:rPr>
            </w:pPr>
          </w:p>
        </w:tc>
      </w:tr>
      <w:tr w14:paraId="28242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0" w:hRule="atLeast"/>
        </w:trPr>
        <w:tc>
          <w:tcPr>
            <w:tcW w:w="848" w:type="dxa"/>
            <w:vAlign w:val="top"/>
          </w:tcPr>
          <w:p w14:paraId="1E2EB7EA">
            <w:pPr>
              <w:spacing w:line="321" w:lineRule="auto"/>
              <w:rPr>
                <w:rFonts w:ascii="Arial"/>
                <w:sz w:val="21"/>
              </w:rPr>
            </w:pPr>
          </w:p>
          <w:p w14:paraId="38627BCC">
            <w:pPr>
              <w:spacing w:before="64" w:line="300" w:lineRule="exact"/>
              <w:ind w:left="91"/>
              <w:rPr>
                <w:rFonts w:ascii="Arial" w:hAnsi="Arial" w:eastAsia="Arial" w:cs="Arial"/>
                <w:sz w:val="22"/>
                <w:szCs w:val="22"/>
              </w:rPr>
            </w:pPr>
            <w:r>
              <w:rPr>
                <w:rFonts w:ascii="Arial" w:hAnsi="Arial" w:eastAsia="Arial" w:cs="Arial"/>
                <w:spacing w:val="-2"/>
                <w:position w:val="1"/>
                <w:sz w:val="22"/>
                <w:szCs w:val="22"/>
              </w:rPr>
              <w:t>3.1.3.1</w:t>
            </w:r>
          </w:p>
        </w:tc>
        <w:tc>
          <w:tcPr>
            <w:tcW w:w="7511" w:type="dxa"/>
            <w:vAlign w:val="top"/>
          </w:tcPr>
          <w:p w14:paraId="32A92DCD">
            <w:pPr>
              <w:pStyle w:val="16"/>
              <w:spacing w:before="103" w:line="243" w:lineRule="auto"/>
              <w:ind w:left="6" w:right="28"/>
              <w:jc w:val="both"/>
            </w:pPr>
            <w:r>
              <w:t>检测同一医院内重复映射</w:t>
            </w:r>
            <w:r>
              <w:rPr>
                <w:rFonts w:ascii="Arial" w:hAnsi="Arial" w:eastAsia="Arial" w:cs="Arial"/>
              </w:rPr>
              <w:t>(</w:t>
            </w:r>
            <w:r>
              <w:t>如多个医院药品指向同一</w:t>
            </w:r>
            <w:r>
              <w:rPr>
                <w:spacing w:val="-1"/>
              </w:rPr>
              <w:t>区域药品</w:t>
            </w:r>
            <w:r>
              <w:rPr>
                <w:rFonts w:ascii="Arial" w:hAnsi="Arial" w:eastAsia="Arial" w:cs="Arial"/>
                <w:spacing w:val="-1"/>
              </w:rPr>
              <w:t>)</w:t>
            </w:r>
            <w:r>
              <w:rPr>
                <w:spacing w:val="-1"/>
              </w:rPr>
              <w:t>、跨医院映射矛</w:t>
            </w:r>
            <w:r>
              <w:t>盾监测</w:t>
            </w:r>
            <w:r>
              <w:rPr>
                <w:rFonts w:ascii="Arial" w:hAnsi="Arial" w:eastAsia="Arial" w:cs="Arial"/>
              </w:rPr>
              <w:t>(</w:t>
            </w:r>
            <w:r>
              <w:t>如</w:t>
            </w:r>
            <w:r>
              <w:rPr>
                <w:rFonts w:ascii="Arial" w:hAnsi="Arial" w:eastAsia="Arial" w:cs="Arial"/>
              </w:rPr>
              <w:t>A</w:t>
            </w:r>
            <w:r>
              <w:t>医院药品</w:t>
            </w:r>
            <w:r>
              <w:rPr>
                <w:rFonts w:ascii="Arial" w:hAnsi="Arial" w:eastAsia="Arial" w:cs="Arial"/>
              </w:rPr>
              <w:t>1</w:t>
            </w:r>
            <w:r>
              <w:t>对照为区域药品</w:t>
            </w:r>
            <w:r>
              <w:rPr>
                <w:rFonts w:ascii="Arial" w:hAnsi="Arial" w:eastAsia="Arial" w:cs="Arial"/>
              </w:rPr>
              <w:t>X,B</w:t>
            </w:r>
            <w:r>
              <w:t>医院同类药品</w:t>
            </w:r>
            <w:r>
              <w:rPr>
                <w:rFonts w:ascii="Arial" w:hAnsi="Arial" w:eastAsia="Arial" w:cs="Arial"/>
              </w:rPr>
              <w:t>2</w:t>
            </w:r>
            <w:r>
              <w:t>映</w:t>
            </w:r>
            <w:r>
              <w:rPr>
                <w:spacing w:val="-1"/>
              </w:rPr>
              <w:t>射为区域药品</w:t>
            </w:r>
            <w:r>
              <w:rPr>
                <w:rFonts w:ascii="Arial" w:hAnsi="Arial" w:eastAsia="Arial" w:cs="Arial"/>
                <w:spacing w:val="-1"/>
              </w:rPr>
              <w:t>Y),</w:t>
            </w:r>
            <w:r>
              <w:rPr>
                <w:spacing w:val="-1"/>
              </w:rPr>
              <w:t>并推送预警至区域管理中心。</w:t>
            </w:r>
          </w:p>
        </w:tc>
        <w:tc>
          <w:tcPr>
            <w:tcW w:w="780" w:type="dxa"/>
            <w:vAlign w:val="top"/>
          </w:tcPr>
          <w:p w14:paraId="02C45FF2">
            <w:pPr>
              <w:rPr>
                <w:rFonts w:ascii="Arial"/>
                <w:sz w:val="21"/>
              </w:rPr>
            </w:pPr>
          </w:p>
        </w:tc>
      </w:tr>
      <w:tr w14:paraId="4A7C0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48" w:type="dxa"/>
            <w:vAlign w:val="top"/>
          </w:tcPr>
          <w:p w14:paraId="776D867B">
            <w:pPr>
              <w:spacing w:before="111" w:line="300" w:lineRule="exact"/>
              <w:ind w:left="91"/>
              <w:rPr>
                <w:rFonts w:ascii="Arial" w:hAnsi="Arial" w:eastAsia="Arial" w:cs="Arial"/>
                <w:sz w:val="22"/>
                <w:szCs w:val="22"/>
              </w:rPr>
            </w:pPr>
            <w:r>
              <w:rPr>
                <w:rFonts w:ascii="Arial" w:hAnsi="Arial" w:eastAsia="Arial" w:cs="Arial"/>
                <w:spacing w:val="-2"/>
                <w:position w:val="1"/>
                <w:sz w:val="22"/>
                <w:szCs w:val="22"/>
              </w:rPr>
              <w:t>3.1.3.2</w:t>
            </w:r>
          </w:p>
        </w:tc>
        <w:tc>
          <w:tcPr>
            <w:tcW w:w="7511" w:type="dxa"/>
            <w:vAlign w:val="top"/>
          </w:tcPr>
          <w:p w14:paraId="5F6B73CC">
            <w:pPr>
              <w:pStyle w:val="16"/>
              <w:spacing w:before="148" w:line="220" w:lineRule="auto"/>
              <w:ind w:left="11"/>
            </w:pPr>
            <w:r>
              <w:rPr>
                <w:spacing w:val="-1"/>
              </w:rPr>
              <w:t>强制要求冲突方重新校准，确保区域统计与分析数据一致性。</w:t>
            </w:r>
          </w:p>
        </w:tc>
        <w:tc>
          <w:tcPr>
            <w:tcW w:w="780" w:type="dxa"/>
            <w:vAlign w:val="top"/>
          </w:tcPr>
          <w:p w14:paraId="3A54C0BC">
            <w:pPr>
              <w:rPr>
                <w:rFonts w:ascii="Arial"/>
                <w:sz w:val="21"/>
              </w:rPr>
            </w:pPr>
          </w:p>
        </w:tc>
      </w:tr>
      <w:tr w14:paraId="7C2BC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48" w:type="dxa"/>
            <w:vAlign w:val="top"/>
          </w:tcPr>
          <w:p w14:paraId="76E94587">
            <w:pPr>
              <w:pStyle w:val="16"/>
              <w:spacing w:before="149" w:line="223" w:lineRule="auto"/>
              <w:ind w:left="339"/>
            </w:pPr>
            <w:r>
              <w:rPr>
                <w:b/>
                <w:bCs/>
                <w:spacing w:val="-3"/>
              </w:rPr>
              <w:t>四</w:t>
            </w:r>
          </w:p>
        </w:tc>
        <w:tc>
          <w:tcPr>
            <w:tcW w:w="7511" w:type="dxa"/>
            <w:vAlign w:val="top"/>
          </w:tcPr>
          <w:p w14:paraId="29C054C7">
            <w:pPr>
              <w:pStyle w:val="16"/>
              <w:spacing w:before="149" w:line="220" w:lineRule="auto"/>
              <w:ind w:left="8"/>
            </w:pPr>
            <w:r>
              <w:rPr>
                <w:b/>
                <w:bCs/>
                <w:spacing w:val="-3"/>
              </w:rPr>
              <w:t>药品数据字典管理</w:t>
            </w:r>
          </w:p>
        </w:tc>
        <w:tc>
          <w:tcPr>
            <w:tcW w:w="780" w:type="dxa"/>
            <w:vAlign w:val="top"/>
          </w:tcPr>
          <w:p w14:paraId="7FB77328">
            <w:pPr>
              <w:rPr>
                <w:rFonts w:ascii="Arial"/>
                <w:sz w:val="21"/>
              </w:rPr>
            </w:pPr>
          </w:p>
        </w:tc>
      </w:tr>
      <w:tr w14:paraId="5C151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48" w:type="dxa"/>
            <w:vAlign w:val="top"/>
          </w:tcPr>
          <w:p w14:paraId="6F181097">
            <w:pPr>
              <w:spacing w:before="177" w:line="197" w:lineRule="auto"/>
              <w:ind w:left="269"/>
              <w:rPr>
                <w:rFonts w:ascii="Arial" w:hAnsi="Arial" w:eastAsia="Arial" w:cs="Arial"/>
                <w:sz w:val="22"/>
                <w:szCs w:val="22"/>
              </w:rPr>
            </w:pPr>
            <w:r>
              <w:rPr>
                <w:rFonts w:ascii="Arial" w:hAnsi="Arial" w:eastAsia="Arial" w:cs="Arial"/>
                <w:spacing w:val="-1"/>
                <w:sz w:val="22"/>
                <w:szCs w:val="22"/>
              </w:rPr>
              <w:t>4.1</w:t>
            </w:r>
          </w:p>
        </w:tc>
        <w:tc>
          <w:tcPr>
            <w:tcW w:w="7511" w:type="dxa"/>
            <w:vAlign w:val="top"/>
          </w:tcPr>
          <w:p w14:paraId="0ABA7762">
            <w:pPr>
              <w:pStyle w:val="16"/>
              <w:spacing w:before="148" w:line="220" w:lineRule="auto"/>
              <w:ind w:left="8"/>
            </w:pPr>
            <w:r>
              <w:rPr>
                <w:spacing w:val="-2"/>
              </w:rPr>
              <w:t>药品基础数据管理</w:t>
            </w:r>
          </w:p>
        </w:tc>
        <w:tc>
          <w:tcPr>
            <w:tcW w:w="780" w:type="dxa"/>
            <w:vAlign w:val="top"/>
          </w:tcPr>
          <w:p w14:paraId="54F0E700">
            <w:pPr>
              <w:rPr>
                <w:rFonts w:ascii="Arial"/>
                <w:sz w:val="21"/>
              </w:rPr>
            </w:pPr>
          </w:p>
        </w:tc>
      </w:tr>
      <w:tr w14:paraId="7197E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848" w:type="dxa"/>
            <w:vAlign w:val="top"/>
          </w:tcPr>
          <w:p w14:paraId="6C410151">
            <w:pPr>
              <w:spacing w:line="359" w:lineRule="auto"/>
              <w:rPr>
                <w:rFonts w:ascii="Arial"/>
                <w:sz w:val="21"/>
              </w:rPr>
            </w:pPr>
          </w:p>
          <w:p w14:paraId="093BAABE">
            <w:pPr>
              <w:spacing w:before="63" w:line="197" w:lineRule="auto"/>
              <w:ind w:left="178"/>
              <w:rPr>
                <w:rFonts w:ascii="Arial" w:hAnsi="Arial" w:eastAsia="Arial" w:cs="Arial"/>
                <w:sz w:val="22"/>
                <w:szCs w:val="22"/>
              </w:rPr>
            </w:pPr>
            <w:r>
              <w:rPr>
                <w:rFonts w:ascii="Arial" w:hAnsi="Arial" w:eastAsia="Arial" w:cs="Arial"/>
                <w:spacing w:val="-1"/>
                <w:sz w:val="22"/>
                <w:szCs w:val="22"/>
              </w:rPr>
              <w:t>4.1.1</w:t>
            </w:r>
          </w:p>
        </w:tc>
        <w:tc>
          <w:tcPr>
            <w:tcW w:w="7511" w:type="dxa"/>
            <w:vAlign w:val="top"/>
          </w:tcPr>
          <w:p w14:paraId="025B3E6F">
            <w:pPr>
              <w:pStyle w:val="16"/>
              <w:spacing w:before="111"/>
              <w:ind w:left="5" w:right="37"/>
              <w:jc w:val="both"/>
            </w:pPr>
            <w:r>
              <w:rPr>
                <w:spacing w:val="-1"/>
              </w:rPr>
              <w:t>拥有完整的药品基础数据信息。全面包含已上市药品的所有数据，必须涵盖国内所有上市药品数据、海外药品数据、新特药药品数据、集采药品数据、国家</w:t>
            </w:r>
            <w:r>
              <w:rPr>
                <w:spacing w:val="-4"/>
              </w:rPr>
              <w:t>谈判药品数据。</w:t>
            </w:r>
          </w:p>
        </w:tc>
        <w:tc>
          <w:tcPr>
            <w:tcW w:w="780" w:type="dxa"/>
            <w:vAlign w:val="top"/>
          </w:tcPr>
          <w:p w14:paraId="09FD54BE">
            <w:pPr>
              <w:spacing w:line="365" w:lineRule="auto"/>
              <w:rPr>
                <w:rFonts w:ascii="Arial"/>
                <w:sz w:val="21"/>
              </w:rPr>
            </w:pPr>
          </w:p>
          <w:p w14:paraId="24981347">
            <w:pPr>
              <w:spacing w:before="64" w:line="191" w:lineRule="auto"/>
              <w:ind w:left="311"/>
              <w:rPr>
                <w:rFonts w:hint="eastAsia" w:ascii="Arial" w:hAnsi="Arial" w:eastAsia="宋体" w:cs="Arial"/>
                <w:sz w:val="22"/>
                <w:szCs w:val="22"/>
                <w:lang w:eastAsia="zh-CN"/>
              </w:rPr>
            </w:pPr>
          </w:p>
        </w:tc>
      </w:tr>
      <w:tr w14:paraId="1FD0D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9" w:hRule="atLeast"/>
        </w:trPr>
        <w:tc>
          <w:tcPr>
            <w:tcW w:w="848" w:type="dxa"/>
            <w:vAlign w:val="top"/>
          </w:tcPr>
          <w:p w14:paraId="4486BBB5">
            <w:pPr>
              <w:spacing w:line="254" w:lineRule="auto"/>
              <w:rPr>
                <w:rFonts w:ascii="Arial"/>
                <w:sz w:val="21"/>
              </w:rPr>
            </w:pPr>
          </w:p>
          <w:p w14:paraId="1A4BA63A">
            <w:pPr>
              <w:spacing w:line="254" w:lineRule="auto"/>
              <w:rPr>
                <w:rFonts w:ascii="Arial"/>
                <w:sz w:val="21"/>
              </w:rPr>
            </w:pPr>
          </w:p>
          <w:p w14:paraId="41445F57">
            <w:pPr>
              <w:spacing w:before="63" w:line="197" w:lineRule="auto"/>
              <w:ind w:left="178"/>
              <w:rPr>
                <w:rFonts w:ascii="Arial" w:hAnsi="Arial" w:eastAsia="Arial" w:cs="Arial"/>
                <w:sz w:val="22"/>
                <w:szCs w:val="22"/>
              </w:rPr>
            </w:pPr>
            <w:r>
              <w:rPr>
                <w:rFonts w:ascii="Arial" w:hAnsi="Arial" w:eastAsia="Arial" w:cs="Arial"/>
                <w:spacing w:val="-1"/>
                <w:sz w:val="22"/>
                <w:szCs w:val="22"/>
              </w:rPr>
              <w:t>4.1.2</w:t>
            </w:r>
          </w:p>
        </w:tc>
        <w:tc>
          <w:tcPr>
            <w:tcW w:w="7511" w:type="dxa"/>
            <w:vAlign w:val="top"/>
          </w:tcPr>
          <w:p w14:paraId="569CDF40">
            <w:pPr>
              <w:pStyle w:val="16"/>
              <w:spacing w:before="117" w:line="243" w:lineRule="auto"/>
              <w:ind w:left="5" w:right="37"/>
            </w:pPr>
            <w:r>
              <w:rPr>
                <w:spacing w:val="-1"/>
              </w:rPr>
              <w:t>平台拥有全面的药品字典属性库，属性库包含药品基本信息，单位转换关系，药品通用名，药品剂型，药品分类，抗菌药物属性，抗肿瘤药物属性，基本药</w:t>
            </w:r>
            <w:r>
              <w:t>物属性，特殊药品标记，医保药品标记，兴奋剂标记，</w:t>
            </w:r>
            <w:r>
              <w:rPr>
                <w:spacing w:val="-1"/>
              </w:rPr>
              <w:t>中药标记，国家医保</w:t>
            </w:r>
            <w:r>
              <w:rPr>
                <w:rFonts w:ascii="Arial" w:hAnsi="Arial" w:eastAsia="Arial" w:cs="Arial"/>
                <w:spacing w:val="-1"/>
              </w:rPr>
              <w:t>/</w:t>
            </w:r>
            <w:r>
              <w:rPr>
                <w:spacing w:val="-1"/>
              </w:rPr>
              <w:t>药监</w:t>
            </w:r>
            <w:r>
              <w:rPr>
                <w:rFonts w:ascii="Arial" w:hAnsi="Arial" w:eastAsia="Arial" w:cs="Arial"/>
                <w:spacing w:val="-1"/>
              </w:rPr>
              <w:t>/</w:t>
            </w:r>
            <w:r>
              <w:rPr>
                <w:spacing w:val="-1"/>
              </w:rPr>
              <w:t>卫健扩展属性标记，同时支持自定义扩展药品属</w:t>
            </w:r>
            <w:r>
              <w:rPr>
                <w:spacing w:val="-2"/>
              </w:rPr>
              <w:t>性功能。</w:t>
            </w:r>
          </w:p>
        </w:tc>
        <w:tc>
          <w:tcPr>
            <w:tcW w:w="780" w:type="dxa"/>
            <w:vAlign w:val="top"/>
          </w:tcPr>
          <w:p w14:paraId="6874E090">
            <w:pPr>
              <w:spacing w:line="257" w:lineRule="auto"/>
              <w:rPr>
                <w:rFonts w:ascii="Arial"/>
                <w:sz w:val="21"/>
              </w:rPr>
            </w:pPr>
          </w:p>
          <w:p w14:paraId="3AD331CF">
            <w:pPr>
              <w:spacing w:line="257" w:lineRule="auto"/>
              <w:rPr>
                <w:rFonts w:ascii="Arial"/>
                <w:sz w:val="21"/>
              </w:rPr>
            </w:pPr>
          </w:p>
          <w:p w14:paraId="01998D30">
            <w:pPr>
              <w:spacing w:before="63" w:line="191" w:lineRule="auto"/>
              <w:ind w:left="311"/>
              <w:rPr>
                <w:rFonts w:hint="eastAsia" w:ascii="Arial" w:hAnsi="Arial" w:eastAsia="宋体" w:cs="Arial"/>
                <w:sz w:val="22"/>
                <w:szCs w:val="22"/>
                <w:lang w:eastAsia="zh-CN"/>
              </w:rPr>
            </w:pPr>
          </w:p>
        </w:tc>
      </w:tr>
      <w:tr w14:paraId="47640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48" w:type="dxa"/>
            <w:vAlign w:val="top"/>
          </w:tcPr>
          <w:p w14:paraId="2037C30C">
            <w:pPr>
              <w:spacing w:before="179" w:line="197" w:lineRule="auto"/>
              <w:ind w:left="269"/>
              <w:rPr>
                <w:rFonts w:ascii="Arial" w:hAnsi="Arial" w:eastAsia="Arial" w:cs="Arial"/>
                <w:sz w:val="22"/>
                <w:szCs w:val="22"/>
              </w:rPr>
            </w:pPr>
            <w:r>
              <w:rPr>
                <w:rFonts w:ascii="Arial" w:hAnsi="Arial" w:eastAsia="Arial" w:cs="Arial"/>
                <w:spacing w:val="-1"/>
                <w:sz w:val="22"/>
                <w:szCs w:val="22"/>
              </w:rPr>
              <w:t>4.2</w:t>
            </w:r>
          </w:p>
        </w:tc>
        <w:tc>
          <w:tcPr>
            <w:tcW w:w="7511" w:type="dxa"/>
            <w:vAlign w:val="top"/>
          </w:tcPr>
          <w:p w14:paraId="17D4799F">
            <w:pPr>
              <w:pStyle w:val="16"/>
              <w:spacing w:before="148" w:line="220" w:lineRule="auto"/>
              <w:ind w:left="8"/>
            </w:pPr>
            <w:r>
              <w:rPr>
                <w:spacing w:val="-2"/>
              </w:rPr>
              <w:t>药品字典属性管理</w:t>
            </w:r>
          </w:p>
        </w:tc>
        <w:tc>
          <w:tcPr>
            <w:tcW w:w="780" w:type="dxa"/>
            <w:vAlign w:val="top"/>
          </w:tcPr>
          <w:p w14:paraId="7F48DFDF">
            <w:pPr>
              <w:rPr>
                <w:rFonts w:ascii="Arial"/>
                <w:sz w:val="21"/>
              </w:rPr>
            </w:pPr>
          </w:p>
        </w:tc>
      </w:tr>
      <w:tr w14:paraId="1AFFC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848" w:type="dxa"/>
            <w:vAlign w:val="top"/>
          </w:tcPr>
          <w:p w14:paraId="74A92A9E">
            <w:pPr>
              <w:spacing w:line="414" w:lineRule="auto"/>
              <w:rPr>
                <w:rFonts w:ascii="Arial"/>
                <w:sz w:val="21"/>
              </w:rPr>
            </w:pPr>
          </w:p>
          <w:p w14:paraId="1D42FAA9">
            <w:pPr>
              <w:spacing w:before="63" w:line="197" w:lineRule="auto"/>
              <w:ind w:left="178"/>
              <w:rPr>
                <w:rFonts w:ascii="Arial" w:hAnsi="Arial" w:eastAsia="Arial" w:cs="Arial"/>
                <w:sz w:val="22"/>
                <w:szCs w:val="22"/>
              </w:rPr>
            </w:pPr>
            <w:r>
              <w:rPr>
                <w:rFonts w:ascii="Arial" w:hAnsi="Arial" w:eastAsia="Arial" w:cs="Arial"/>
                <w:spacing w:val="-1"/>
                <w:sz w:val="22"/>
                <w:szCs w:val="22"/>
              </w:rPr>
              <w:t>4.2.1</w:t>
            </w:r>
          </w:p>
        </w:tc>
        <w:tc>
          <w:tcPr>
            <w:tcW w:w="7511" w:type="dxa"/>
            <w:vAlign w:val="top"/>
          </w:tcPr>
          <w:p w14:paraId="497B7EF0">
            <w:pPr>
              <w:pStyle w:val="16"/>
              <w:spacing w:before="165" w:line="241" w:lineRule="auto"/>
              <w:ind w:left="20" w:right="37" w:hanging="12"/>
              <w:jc w:val="both"/>
            </w:pPr>
            <w:r>
              <w:rPr>
                <w:spacing w:val="-1"/>
              </w:rPr>
              <w:t>药品基本属性必须包含医保药品代码、药品名称、拼音检索码、医保药品分类</w:t>
            </w:r>
            <w:r>
              <w:rPr>
                <w:spacing w:val="12"/>
              </w:rPr>
              <w:t xml:space="preserve"> </w:t>
            </w:r>
            <w:r>
              <w:rPr>
                <w:spacing w:val="-1"/>
              </w:rPr>
              <w:t>、商品名称、规格、剂型、药品企业、批准文号、药品本位码、最小包装数量</w:t>
            </w:r>
            <w:r>
              <w:t xml:space="preserve"> </w:t>
            </w:r>
            <w:r>
              <w:rPr>
                <w:spacing w:val="-2"/>
              </w:rPr>
              <w:t>、最小制剂单位、最小包装单位、包装材质属性信息。</w:t>
            </w:r>
          </w:p>
        </w:tc>
        <w:tc>
          <w:tcPr>
            <w:tcW w:w="780" w:type="dxa"/>
            <w:vAlign w:val="top"/>
          </w:tcPr>
          <w:p w14:paraId="1CFC6601">
            <w:pPr>
              <w:rPr>
                <w:rFonts w:ascii="Arial"/>
                <w:sz w:val="21"/>
              </w:rPr>
            </w:pPr>
          </w:p>
        </w:tc>
      </w:tr>
      <w:tr w14:paraId="109E7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848" w:type="dxa"/>
            <w:vAlign w:val="top"/>
          </w:tcPr>
          <w:p w14:paraId="6D6FC1CA">
            <w:pPr>
              <w:spacing w:before="278" w:line="197" w:lineRule="auto"/>
              <w:ind w:left="178"/>
              <w:rPr>
                <w:rFonts w:ascii="Arial" w:hAnsi="Arial" w:eastAsia="Arial" w:cs="Arial"/>
                <w:sz w:val="22"/>
                <w:szCs w:val="22"/>
              </w:rPr>
            </w:pPr>
            <w:r>
              <w:rPr>
                <w:rFonts w:ascii="Arial" w:hAnsi="Arial" w:eastAsia="Arial" w:cs="Arial"/>
                <w:spacing w:val="-1"/>
                <w:sz w:val="22"/>
                <w:szCs w:val="22"/>
              </w:rPr>
              <w:t>4.2.2</w:t>
            </w:r>
          </w:p>
        </w:tc>
        <w:tc>
          <w:tcPr>
            <w:tcW w:w="7511" w:type="dxa"/>
            <w:vAlign w:val="top"/>
          </w:tcPr>
          <w:p w14:paraId="16BD745E">
            <w:pPr>
              <w:pStyle w:val="16"/>
              <w:spacing w:before="107" w:line="241" w:lineRule="auto"/>
              <w:ind w:left="6" w:right="87" w:firstLine="1"/>
            </w:pPr>
            <w:r>
              <w:rPr>
                <w:spacing w:val="-2"/>
              </w:rPr>
              <w:t>药品剂型属性必须包含剂型分类、统计用溶媒、审查用溶媒（糖，盐</w:t>
            </w:r>
            <w:r>
              <w:rPr>
                <w:spacing w:val="-3"/>
              </w:rPr>
              <w:t>，糖盐，</w:t>
            </w:r>
            <w:r>
              <w:rPr>
                <w:spacing w:val="-1"/>
              </w:rPr>
              <w:t>其它）、缓控释制剂、能否分次使用属性信息。</w:t>
            </w:r>
          </w:p>
        </w:tc>
        <w:tc>
          <w:tcPr>
            <w:tcW w:w="780" w:type="dxa"/>
            <w:vAlign w:val="top"/>
          </w:tcPr>
          <w:p w14:paraId="5D6D97F9">
            <w:pPr>
              <w:spacing w:before="285" w:line="191" w:lineRule="auto"/>
              <w:ind w:left="311"/>
              <w:rPr>
                <w:rFonts w:hint="eastAsia" w:ascii="Arial" w:hAnsi="Arial" w:eastAsia="宋体" w:cs="Arial"/>
                <w:sz w:val="22"/>
                <w:szCs w:val="22"/>
                <w:lang w:eastAsia="zh-CN"/>
              </w:rPr>
            </w:pPr>
          </w:p>
        </w:tc>
      </w:tr>
      <w:tr w14:paraId="337E9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9" w:hRule="atLeast"/>
        </w:trPr>
        <w:tc>
          <w:tcPr>
            <w:tcW w:w="848" w:type="dxa"/>
            <w:vAlign w:val="top"/>
          </w:tcPr>
          <w:p w14:paraId="7F1A49DF">
            <w:pPr>
              <w:spacing w:line="478" w:lineRule="auto"/>
              <w:rPr>
                <w:rFonts w:ascii="Arial"/>
                <w:sz w:val="21"/>
              </w:rPr>
            </w:pPr>
          </w:p>
          <w:p w14:paraId="547F5905">
            <w:pPr>
              <w:spacing w:before="63" w:line="301" w:lineRule="exact"/>
              <w:ind w:left="178"/>
              <w:rPr>
                <w:rFonts w:ascii="Arial" w:hAnsi="Arial" w:eastAsia="Arial" w:cs="Arial"/>
                <w:sz w:val="22"/>
                <w:szCs w:val="22"/>
              </w:rPr>
            </w:pPr>
            <w:r>
              <w:rPr>
                <w:rFonts w:ascii="Arial" w:hAnsi="Arial" w:eastAsia="Arial" w:cs="Arial"/>
                <w:spacing w:val="-1"/>
                <w:position w:val="1"/>
                <w:sz w:val="22"/>
                <w:szCs w:val="22"/>
              </w:rPr>
              <w:t>4.2.3</w:t>
            </w:r>
          </w:p>
        </w:tc>
        <w:tc>
          <w:tcPr>
            <w:tcW w:w="7511" w:type="dxa"/>
            <w:vAlign w:val="top"/>
          </w:tcPr>
          <w:p w14:paraId="71190E6F">
            <w:pPr>
              <w:pStyle w:val="16"/>
              <w:spacing w:before="152" w:line="241" w:lineRule="auto"/>
              <w:ind w:left="10" w:right="69" w:hanging="4"/>
              <w:jc w:val="both"/>
            </w:pPr>
            <w:r>
              <w:t>抗菌药物属性必须包含</w:t>
            </w:r>
            <w:r>
              <w:rPr>
                <w:rFonts w:ascii="Arial" w:hAnsi="Arial" w:eastAsia="Arial" w:cs="Arial"/>
              </w:rPr>
              <w:t>DDD</w:t>
            </w:r>
            <w:r>
              <w:t>值、</w:t>
            </w:r>
            <w:r>
              <w:rPr>
                <w:rFonts w:ascii="Arial" w:hAnsi="Arial" w:eastAsia="Arial" w:cs="Arial"/>
              </w:rPr>
              <w:t>DDD</w:t>
            </w:r>
            <w:r>
              <w:t>值单位</w:t>
            </w:r>
            <w:r>
              <w:rPr>
                <w:spacing w:val="-1"/>
              </w:rPr>
              <w:t>、换算关系、抗菌药物类别、抗</w:t>
            </w:r>
            <w:r>
              <w:rPr>
                <w:spacing w:val="2"/>
              </w:rPr>
              <w:t>菌药物级别、抗菌药物分类属性信息详细管理</w:t>
            </w:r>
            <w:r>
              <w:rPr>
                <w:spacing w:val="1"/>
              </w:rPr>
              <w:t>，包含所有抗菌药物分类信息(</w:t>
            </w:r>
            <w:r>
              <w:t>四环素类，第四代头孢菌素类，喹诺酮类，糖</w:t>
            </w:r>
            <w:r>
              <w:rPr>
                <w:spacing w:val="-1"/>
              </w:rPr>
              <w:t>肽类，头霉素类，抗真菌药</w:t>
            </w:r>
            <w:r>
              <w:rPr>
                <w:rFonts w:ascii="Arial" w:hAnsi="Arial" w:eastAsia="Arial" w:cs="Arial"/>
                <w:spacing w:val="-1"/>
              </w:rPr>
              <w:t>-</w:t>
            </w:r>
            <w:r>
              <w:rPr>
                <w:spacing w:val="-1"/>
              </w:rPr>
              <w:t>三</w:t>
            </w:r>
            <w:r>
              <w:rPr>
                <w:spacing w:val="-2"/>
              </w:rPr>
              <w:t>唑类，氯霉素类，第五代头孢菌素类，硝基咪唑类，青霉素类，噁唑烷酮类。</w:t>
            </w:r>
          </w:p>
        </w:tc>
        <w:tc>
          <w:tcPr>
            <w:tcW w:w="780" w:type="dxa"/>
            <w:vAlign w:val="top"/>
          </w:tcPr>
          <w:p w14:paraId="64DD96F8">
            <w:pPr>
              <w:spacing w:line="254" w:lineRule="auto"/>
              <w:rPr>
                <w:rFonts w:ascii="Arial"/>
                <w:sz w:val="21"/>
              </w:rPr>
            </w:pPr>
          </w:p>
          <w:p w14:paraId="269B119E">
            <w:pPr>
              <w:spacing w:line="255" w:lineRule="auto"/>
              <w:rPr>
                <w:rFonts w:ascii="Arial"/>
                <w:sz w:val="21"/>
              </w:rPr>
            </w:pPr>
          </w:p>
          <w:p w14:paraId="23090471">
            <w:pPr>
              <w:pStyle w:val="16"/>
              <w:spacing w:before="72" w:line="227" w:lineRule="auto"/>
              <w:ind w:left="291"/>
              <w:rPr>
                <w:rFonts w:hint="eastAsia" w:eastAsia="宋体"/>
                <w:lang w:eastAsia="zh-CN"/>
              </w:rPr>
            </w:pPr>
          </w:p>
        </w:tc>
      </w:tr>
      <w:tr w14:paraId="02DCF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6" w:hRule="atLeast"/>
        </w:trPr>
        <w:tc>
          <w:tcPr>
            <w:tcW w:w="848" w:type="dxa"/>
            <w:vAlign w:val="top"/>
          </w:tcPr>
          <w:p w14:paraId="3043FE09">
            <w:pPr>
              <w:spacing w:line="281" w:lineRule="auto"/>
              <w:rPr>
                <w:rFonts w:ascii="Arial"/>
                <w:sz w:val="21"/>
              </w:rPr>
            </w:pPr>
          </w:p>
          <w:p w14:paraId="017A8B03">
            <w:pPr>
              <w:spacing w:line="282" w:lineRule="auto"/>
              <w:rPr>
                <w:rFonts w:ascii="Arial"/>
                <w:sz w:val="21"/>
              </w:rPr>
            </w:pPr>
          </w:p>
          <w:p w14:paraId="6764DD7F">
            <w:pPr>
              <w:spacing w:before="63" w:line="197" w:lineRule="auto"/>
              <w:ind w:left="178"/>
              <w:rPr>
                <w:rFonts w:ascii="Arial" w:hAnsi="Arial" w:eastAsia="Arial" w:cs="Arial"/>
                <w:sz w:val="22"/>
                <w:szCs w:val="22"/>
              </w:rPr>
            </w:pPr>
            <w:r>
              <w:rPr>
                <w:rFonts w:ascii="Arial" w:hAnsi="Arial" w:eastAsia="Arial" w:cs="Arial"/>
                <w:spacing w:val="-1"/>
                <w:sz w:val="22"/>
                <w:szCs w:val="22"/>
              </w:rPr>
              <w:t>4.2.4</w:t>
            </w:r>
          </w:p>
        </w:tc>
        <w:tc>
          <w:tcPr>
            <w:tcW w:w="7511" w:type="dxa"/>
            <w:vAlign w:val="top"/>
          </w:tcPr>
          <w:p w14:paraId="47551D95">
            <w:pPr>
              <w:pStyle w:val="16"/>
              <w:spacing w:before="33" w:line="232" w:lineRule="auto"/>
              <w:ind w:left="6" w:right="174"/>
              <w:jc w:val="both"/>
            </w:pPr>
            <w:r>
              <w:rPr>
                <w:spacing w:val="-1"/>
              </w:rPr>
              <w:t>抗真菌药</w:t>
            </w:r>
            <w:r>
              <w:rPr>
                <w:rFonts w:ascii="Arial" w:hAnsi="Arial" w:eastAsia="Arial" w:cs="Arial"/>
                <w:spacing w:val="-1"/>
              </w:rPr>
              <w:t>-</w:t>
            </w:r>
            <w:r>
              <w:rPr>
                <w:spacing w:val="-1"/>
              </w:rPr>
              <w:t>其他抗真菌药，第一代头孢菌素类，大环内酯类，碳青霉烯类，其他</w:t>
            </w:r>
            <w:r>
              <w:rPr>
                <w:rFonts w:ascii="Arial" w:hAnsi="Arial" w:eastAsia="Arial" w:cs="Arial"/>
                <w:spacing w:val="-1"/>
              </w:rPr>
              <w:t>B-</w:t>
            </w:r>
            <w:r>
              <w:rPr>
                <w:spacing w:val="-1"/>
              </w:rPr>
              <w:t>内酰胺类，抗真菌药</w:t>
            </w:r>
            <w:r>
              <w:rPr>
                <w:rFonts w:ascii="Arial" w:hAnsi="Arial" w:eastAsia="Arial" w:cs="Arial"/>
                <w:spacing w:val="-1"/>
              </w:rPr>
              <w:t>-</w:t>
            </w:r>
            <w:r>
              <w:rPr>
                <w:spacing w:val="-1"/>
              </w:rPr>
              <w:t>多烯类，其他抗细菌药物，第二代头孢菌素类，林</w:t>
            </w:r>
            <w:r>
              <w:t>可胺类，氨基糖苷类，磺胺类及磺胺增效剂，</w:t>
            </w:r>
            <w:r>
              <w:rPr>
                <w:spacing w:val="-1"/>
              </w:rPr>
              <w:t>抗真菌药</w:t>
            </w:r>
            <w:r>
              <w:rPr>
                <w:rFonts w:ascii="Arial" w:hAnsi="Arial" w:eastAsia="Arial" w:cs="Arial"/>
                <w:spacing w:val="-1"/>
              </w:rPr>
              <w:t>-</w:t>
            </w:r>
            <w:r>
              <w:rPr>
                <w:spacing w:val="-1"/>
              </w:rPr>
              <w:t>棘白菌素类，第三代</w:t>
            </w:r>
            <w:r>
              <w:t>头孢菌素类，环脂肽类，硝基呋喃衍生物类，甘氨酰环</w:t>
            </w:r>
            <w:r>
              <w:rPr>
                <w:spacing w:val="-1"/>
              </w:rPr>
              <w:t>素类，抗真菌药</w:t>
            </w:r>
            <w:r>
              <w:rPr>
                <w:rFonts w:ascii="Arial" w:hAnsi="Arial" w:eastAsia="Arial" w:cs="Arial"/>
                <w:spacing w:val="-1"/>
              </w:rPr>
              <w:t>-</w:t>
            </w:r>
            <w:r>
              <w:rPr>
                <w:spacing w:val="-1"/>
              </w:rPr>
              <w:t>咪唑</w:t>
            </w:r>
            <w:r>
              <w:rPr>
                <w:spacing w:val="-3"/>
              </w:rPr>
              <w:t>类）。</w:t>
            </w:r>
          </w:p>
        </w:tc>
        <w:tc>
          <w:tcPr>
            <w:tcW w:w="780" w:type="dxa"/>
            <w:vAlign w:val="top"/>
          </w:tcPr>
          <w:p w14:paraId="5B912408">
            <w:pPr>
              <w:spacing w:line="284" w:lineRule="auto"/>
              <w:rPr>
                <w:rFonts w:ascii="Arial"/>
                <w:sz w:val="21"/>
              </w:rPr>
            </w:pPr>
          </w:p>
          <w:p w14:paraId="329C784B">
            <w:pPr>
              <w:spacing w:line="285" w:lineRule="auto"/>
              <w:rPr>
                <w:rFonts w:ascii="Arial"/>
                <w:sz w:val="21"/>
              </w:rPr>
            </w:pPr>
          </w:p>
          <w:p w14:paraId="4A9C1838">
            <w:pPr>
              <w:spacing w:before="63" w:line="191" w:lineRule="auto"/>
              <w:ind w:left="311"/>
              <w:rPr>
                <w:rFonts w:hint="eastAsia" w:ascii="Arial" w:hAnsi="Arial" w:eastAsia="宋体" w:cs="Arial"/>
                <w:sz w:val="22"/>
                <w:szCs w:val="22"/>
                <w:lang w:eastAsia="zh-CN"/>
              </w:rPr>
            </w:pPr>
          </w:p>
        </w:tc>
      </w:tr>
    </w:tbl>
    <w:p w14:paraId="55FB7B9B">
      <w:pPr>
        <w:rPr>
          <w:rFonts w:ascii="Arial"/>
          <w:sz w:val="21"/>
        </w:rPr>
      </w:pPr>
    </w:p>
    <w:p w14:paraId="7E8325C3">
      <w:pPr>
        <w:rPr>
          <w:rFonts w:ascii="Arial" w:hAnsi="Arial" w:eastAsia="Arial" w:cs="Arial"/>
          <w:sz w:val="21"/>
          <w:szCs w:val="21"/>
        </w:rPr>
        <w:sectPr>
          <w:pgSz w:w="11907" w:h="16839"/>
          <w:pgMar w:top="1431" w:right="1386" w:bottom="0" w:left="1376" w:header="0" w:footer="0" w:gutter="0"/>
          <w:pgBorders>
            <w:top w:val="none" w:sz="0" w:space="0"/>
            <w:left w:val="none" w:sz="0" w:space="0"/>
            <w:bottom w:val="none" w:sz="0" w:space="0"/>
            <w:right w:val="none" w:sz="0" w:space="0"/>
          </w:pgBorders>
          <w:cols w:space="720" w:num="1"/>
        </w:sectPr>
      </w:pPr>
    </w:p>
    <w:p w14:paraId="600F0DAD">
      <w:pPr>
        <w:spacing w:line="94" w:lineRule="auto"/>
        <w:rPr>
          <w:rFonts w:ascii="Arial"/>
          <w:sz w:val="2"/>
        </w:rPr>
      </w:pPr>
    </w:p>
    <w:tbl>
      <w:tblPr>
        <w:tblStyle w:val="17"/>
        <w:tblW w:w="91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8"/>
        <w:gridCol w:w="7511"/>
        <w:gridCol w:w="780"/>
      </w:tblGrid>
      <w:tr w14:paraId="72D7E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1" w:hRule="atLeast"/>
        </w:trPr>
        <w:tc>
          <w:tcPr>
            <w:tcW w:w="848" w:type="dxa"/>
            <w:vAlign w:val="top"/>
          </w:tcPr>
          <w:p w14:paraId="21D0F95C">
            <w:pPr>
              <w:spacing w:line="251" w:lineRule="auto"/>
              <w:rPr>
                <w:rFonts w:ascii="Arial"/>
                <w:sz w:val="21"/>
              </w:rPr>
            </w:pPr>
          </w:p>
          <w:p w14:paraId="32B91AD9">
            <w:pPr>
              <w:spacing w:line="252" w:lineRule="auto"/>
              <w:rPr>
                <w:rFonts w:ascii="Arial"/>
                <w:sz w:val="21"/>
              </w:rPr>
            </w:pPr>
          </w:p>
          <w:p w14:paraId="7812A7C7">
            <w:pPr>
              <w:spacing w:before="64" w:line="300" w:lineRule="exact"/>
              <w:ind w:left="178"/>
              <w:rPr>
                <w:rFonts w:ascii="Arial" w:hAnsi="Arial" w:eastAsia="Arial" w:cs="Arial"/>
                <w:sz w:val="22"/>
                <w:szCs w:val="22"/>
              </w:rPr>
            </w:pPr>
            <w:r>
              <w:rPr>
                <w:rFonts w:ascii="Arial" w:hAnsi="Arial" w:eastAsia="Arial" w:cs="Arial"/>
                <w:spacing w:val="-1"/>
                <w:position w:val="1"/>
                <w:sz w:val="22"/>
                <w:szCs w:val="22"/>
              </w:rPr>
              <w:t>4.2.5</w:t>
            </w:r>
          </w:p>
        </w:tc>
        <w:tc>
          <w:tcPr>
            <w:tcW w:w="7511" w:type="dxa"/>
            <w:vAlign w:val="top"/>
          </w:tcPr>
          <w:p w14:paraId="1EF05778">
            <w:pPr>
              <w:pStyle w:val="16"/>
              <w:spacing w:before="181" w:line="234" w:lineRule="auto"/>
              <w:ind w:left="7" w:right="37" w:hanging="1"/>
              <w:jc w:val="both"/>
            </w:pPr>
            <w:r>
              <w:rPr>
                <w:spacing w:val="-1"/>
              </w:rPr>
              <w:t>特殊药品属性信息必须包含高警示药品、高警示级别、重点监控药品、需皮试药品、精</w:t>
            </w:r>
            <w:r>
              <w:rPr>
                <w:rFonts w:ascii="Arial" w:hAnsi="Arial" w:eastAsia="Arial" w:cs="Arial"/>
                <w:spacing w:val="-1"/>
              </w:rPr>
              <w:t>/</w:t>
            </w:r>
            <w:r>
              <w:rPr>
                <w:spacing w:val="-1"/>
              </w:rPr>
              <w:t>麻</w:t>
            </w:r>
            <w:r>
              <w:rPr>
                <w:rFonts w:ascii="Arial" w:hAnsi="Arial" w:eastAsia="Arial" w:cs="Arial"/>
                <w:spacing w:val="-1"/>
              </w:rPr>
              <w:t>/</w:t>
            </w:r>
            <w:r>
              <w:rPr>
                <w:spacing w:val="-1"/>
              </w:rPr>
              <w:t>毒</w:t>
            </w:r>
            <w:r>
              <w:rPr>
                <w:rFonts w:ascii="Arial" w:hAnsi="Arial" w:eastAsia="Arial" w:cs="Arial"/>
                <w:spacing w:val="-1"/>
              </w:rPr>
              <w:t>/</w:t>
            </w:r>
            <w:r>
              <w:rPr>
                <w:spacing w:val="-1"/>
              </w:rPr>
              <w:t>放、血液制品、糖皮质激素、是否肠外营养剂、质子泵抑制剂</w:t>
            </w:r>
            <w:r>
              <w:rPr>
                <w:spacing w:val="15"/>
              </w:rPr>
              <w:t xml:space="preserve"> </w:t>
            </w:r>
            <w:r>
              <w:rPr>
                <w:spacing w:val="-1"/>
              </w:rPr>
              <w:t>、是否疫苗、含钾注射液、终止妊娠、促排卵药品、激素类药品、止吐剂药品</w:t>
            </w:r>
            <w:r>
              <w:rPr>
                <w:spacing w:val="-7"/>
              </w:rPr>
              <w:t>属性信息。</w:t>
            </w:r>
          </w:p>
        </w:tc>
        <w:tc>
          <w:tcPr>
            <w:tcW w:w="780" w:type="dxa"/>
            <w:vAlign w:val="top"/>
          </w:tcPr>
          <w:p w14:paraId="74E55526">
            <w:pPr>
              <w:spacing w:line="288" w:lineRule="auto"/>
              <w:rPr>
                <w:rFonts w:ascii="Arial"/>
                <w:sz w:val="21"/>
              </w:rPr>
            </w:pPr>
          </w:p>
          <w:p w14:paraId="5C37AACE">
            <w:pPr>
              <w:spacing w:line="289" w:lineRule="auto"/>
              <w:rPr>
                <w:rFonts w:ascii="Arial"/>
                <w:sz w:val="21"/>
              </w:rPr>
            </w:pPr>
          </w:p>
          <w:p w14:paraId="07DDE9A6">
            <w:pPr>
              <w:spacing w:before="64" w:line="191" w:lineRule="auto"/>
              <w:ind w:left="311"/>
              <w:rPr>
                <w:rFonts w:hint="eastAsia" w:ascii="Arial" w:hAnsi="Arial" w:eastAsia="宋体" w:cs="Arial"/>
                <w:sz w:val="22"/>
                <w:szCs w:val="22"/>
                <w:lang w:eastAsia="zh-CN"/>
              </w:rPr>
            </w:pPr>
          </w:p>
        </w:tc>
      </w:tr>
      <w:tr w14:paraId="6087B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48" w:type="dxa"/>
            <w:vAlign w:val="top"/>
          </w:tcPr>
          <w:p w14:paraId="7FAAC44D">
            <w:pPr>
              <w:pStyle w:val="16"/>
              <w:spacing w:before="148" w:line="230" w:lineRule="auto"/>
              <w:ind w:left="322"/>
            </w:pPr>
            <w:r>
              <w:rPr>
                <w:b/>
                <w:bCs/>
                <w:spacing w:val="-3"/>
              </w:rPr>
              <w:t>五</w:t>
            </w:r>
          </w:p>
        </w:tc>
        <w:tc>
          <w:tcPr>
            <w:tcW w:w="7511" w:type="dxa"/>
            <w:vAlign w:val="top"/>
          </w:tcPr>
          <w:p w14:paraId="3788E783">
            <w:pPr>
              <w:pStyle w:val="16"/>
              <w:spacing w:before="148" w:line="219" w:lineRule="auto"/>
              <w:ind w:left="5"/>
            </w:pPr>
            <w:r>
              <w:rPr>
                <w:b/>
                <w:bCs/>
                <w:spacing w:val="-4"/>
              </w:rPr>
              <w:t>采购管理</w:t>
            </w:r>
          </w:p>
        </w:tc>
        <w:tc>
          <w:tcPr>
            <w:tcW w:w="780" w:type="dxa"/>
            <w:vAlign w:val="top"/>
          </w:tcPr>
          <w:p w14:paraId="07DDCB22">
            <w:pPr>
              <w:rPr>
                <w:rFonts w:ascii="Arial"/>
                <w:sz w:val="21"/>
              </w:rPr>
            </w:pPr>
          </w:p>
        </w:tc>
      </w:tr>
      <w:tr w14:paraId="328FD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848" w:type="dxa"/>
            <w:vAlign w:val="top"/>
          </w:tcPr>
          <w:p w14:paraId="256A8930">
            <w:pPr>
              <w:spacing w:before="274" w:line="300" w:lineRule="exact"/>
              <w:ind w:left="276"/>
              <w:rPr>
                <w:rFonts w:ascii="Arial" w:hAnsi="Arial" w:eastAsia="Arial" w:cs="Arial"/>
                <w:sz w:val="22"/>
                <w:szCs w:val="22"/>
              </w:rPr>
            </w:pPr>
            <w:r>
              <w:rPr>
                <w:rFonts w:ascii="Arial" w:hAnsi="Arial" w:eastAsia="Arial" w:cs="Arial"/>
                <w:spacing w:val="-3"/>
                <w:position w:val="1"/>
                <w:sz w:val="22"/>
                <w:szCs w:val="22"/>
              </w:rPr>
              <w:t>5.1</w:t>
            </w:r>
          </w:p>
        </w:tc>
        <w:tc>
          <w:tcPr>
            <w:tcW w:w="7511" w:type="dxa"/>
            <w:vAlign w:val="top"/>
          </w:tcPr>
          <w:p w14:paraId="0266E4D7">
            <w:pPr>
              <w:pStyle w:val="16"/>
              <w:spacing w:before="29" w:line="228" w:lineRule="auto"/>
              <w:ind w:left="6" w:right="37" w:hanging="1"/>
              <w:jc w:val="both"/>
            </w:pPr>
            <w:r>
              <w:rPr>
                <w:spacing w:val="-1"/>
              </w:rPr>
              <w:t>采购计划管理：根据区域内各医院采购需求或特定事件药品需求等制定相应的药品采购计划、支持采购计划总采并可指定医药配送商配送以及各医院配额的</w:t>
            </w:r>
            <w:r>
              <w:rPr>
                <w:spacing w:val="-3"/>
              </w:rPr>
              <w:t>制定。</w:t>
            </w:r>
          </w:p>
        </w:tc>
        <w:tc>
          <w:tcPr>
            <w:tcW w:w="780" w:type="dxa"/>
            <w:vAlign w:val="top"/>
          </w:tcPr>
          <w:p w14:paraId="46B8EA08">
            <w:pPr>
              <w:rPr>
                <w:rFonts w:ascii="Arial"/>
                <w:sz w:val="21"/>
              </w:rPr>
            </w:pPr>
          </w:p>
        </w:tc>
      </w:tr>
      <w:tr w14:paraId="6AB81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48" w:type="dxa"/>
            <w:vAlign w:val="top"/>
          </w:tcPr>
          <w:p w14:paraId="3C18BCF5">
            <w:pPr>
              <w:spacing w:before="110" w:line="300" w:lineRule="exact"/>
              <w:ind w:left="276"/>
              <w:rPr>
                <w:rFonts w:ascii="Arial" w:hAnsi="Arial" w:eastAsia="Arial" w:cs="Arial"/>
                <w:sz w:val="22"/>
                <w:szCs w:val="22"/>
              </w:rPr>
            </w:pPr>
            <w:r>
              <w:rPr>
                <w:rFonts w:ascii="Arial" w:hAnsi="Arial" w:eastAsia="Arial" w:cs="Arial"/>
                <w:spacing w:val="-3"/>
                <w:position w:val="1"/>
                <w:sz w:val="22"/>
                <w:szCs w:val="22"/>
              </w:rPr>
              <w:t>5.2</w:t>
            </w:r>
          </w:p>
        </w:tc>
        <w:tc>
          <w:tcPr>
            <w:tcW w:w="7511" w:type="dxa"/>
            <w:vAlign w:val="top"/>
          </w:tcPr>
          <w:p w14:paraId="70E81D30">
            <w:pPr>
              <w:pStyle w:val="16"/>
              <w:spacing w:before="30" w:line="219" w:lineRule="auto"/>
              <w:ind w:left="5"/>
            </w:pPr>
            <w:r>
              <w:rPr>
                <w:spacing w:val="-2"/>
              </w:rPr>
              <w:t>采购申请管理</w:t>
            </w:r>
          </w:p>
        </w:tc>
        <w:tc>
          <w:tcPr>
            <w:tcW w:w="780" w:type="dxa"/>
            <w:vAlign w:val="top"/>
          </w:tcPr>
          <w:p w14:paraId="15B5AA88">
            <w:pPr>
              <w:rPr>
                <w:rFonts w:ascii="Arial"/>
                <w:sz w:val="21"/>
              </w:rPr>
            </w:pPr>
          </w:p>
        </w:tc>
      </w:tr>
      <w:tr w14:paraId="07754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0" w:hRule="atLeast"/>
        </w:trPr>
        <w:tc>
          <w:tcPr>
            <w:tcW w:w="848" w:type="dxa"/>
            <w:vAlign w:val="top"/>
          </w:tcPr>
          <w:p w14:paraId="5BE7A32D">
            <w:pPr>
              <w:spacing w:line="323" w:lineRule="auto"/>
              <w:rPr>
                <w:rFonts w:ascii="Arial"/>
                <w:sz w:val="21"/>
              </w:rPr>
            </w:pPr>
          </w:p>
          <w:p w14:paraId="011CF17D">
            <w:pPr>
              <w:spacing w:before="64" w:line="300" w:lineRule="exact"/>
              <w:ind w:left="185"/>
              <w:rPr>
                <w:rFonts w:ascii="Arial" w:hAnsi="Arial" w:eastAsia="Arial" w:cs="Arial"/>
                <w:sz w:val="22"/>
                <w:szCs w:val="22"/>
              </w:rPr>
            </w:pPr>
            <w:r>
              <w:rPr>
                <w:rFonts w:ascii="Arial" w:hAnsi="Arial" w:eastAsia="Arial" w:cs="Arial"/>
                <w:spacing w:val="-2"/>
                <w:position w:val="1"/>
                <w:sz w:val="22"/>
                <w:szCs w:val="22"/>
              </w:rPr>
              <w:t>5.2.1</w:t>
            </w:r>
          </w:p>
        </w:tc>
        <w:tc>
          <w:tcPr>
            <w:tcW w:w="7511" w:type="dxa"/>
            <w:vAlign w:val="top"/>
          </w:tcPr>
          <w:p w14:paraId="129D8CF8">
            <w:pPr>
              <w:pStyle w:val="16"/>
              <w:spacing w:before="30" w:line="237" w:lineRule="auto"/>
              <w:ind w:left="16" w:right="37" w:hanging="10"/>
            </w:pPr>
            <w:r>
              <w:rPr>
                <w:spacing w:val="-1"/>
              </w:rPr>
              <w:t>汇总区域内各医院的采购申请，支持查看申请、申请审核、申请拒审，同时超时处理申请醒目提示。申请处理后，相应事件会由系统自动转发至相应机构</w:t>
            </w:r>
            <w:r>
              <w:rPr>
                <w:rFonts w:ascii="Arial" w:hAnsi="Arial" w:eastAsia="Arial" w:cs="Arial"/>
                <w:spacing w:val="-1"/>
              </w:rPr>
              <w:t>(</w:t>
            </w:r>
            <w:r>
              <w:rPr>
                <w:spacing w:val="-3"/>
              </w:rPr>
              <w:t>医院或配送商</w:t>
            </w:r>
            <w:r>
              <w:rPr>
                <w:rFonts w:ascii="Arial" w:hAnsi="Arial" w:eastAsia="Arial" w:cs="Arial"/>
                <w:spacing w:val="-3"/>
              </w:rPr>
              <w:t>)</w:t>
            </w:r>
            <w:r>
              <w:rPr>
                <w:spacing w:val="-3"/>
              </w:rPr>
              <w:t>。</w:t>
            </w:r>
          </w:p>
        </w:tc>
        <w:tc>
          <w:tcPr>
            <w:tcW w:w="780" w:type="dxa"/>
            <w:vAlign w:val="top"/>
          </w:tcPr>
          <w:p w14:paraId="1E010064">
            <w:pPr>
              <w:rPr>
                <w:rFonts w:ascii="Arial"/>
                <w:sz w:val="21"/>
              </w:rPr>
            </w:pPr>
          </w:p>
        </w:tc>
      </w:tr>
      <w:tr w14:paraId="1FE6A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848" w:type="dxa"/>
            <w:vAlign w:val="top"/>
          </w:tcPr>
          <w:p w14:paraId="28DBA46B">
            <w:pPr>
              <w:spacing w:before="208" w:line="301" w:lineRule="exact"/>
              <w:ind w:left="185"/>
              <w:rPr>
                <w:rFonts w:ascii="Arial" w:hAnsi="Arial" w:eastAsia="Arial" w:cs="Arial"/>
                <w:sz w:val="22"/>
                <w:szCs w:val="22"/>
              </w:rPr>
            </w:pPr>
            <w:r>
              <w:rPr>
                <w:rFonts w:ascii="Arial" w:hAnsi="Arial" w:eastAsia="Arial" w:cs="Arial"/>
                <w:spacing w:val="-2"/>
                <w:position w:val="1"/>
                <w:sz w:val="22"/>
                <w:szCs w:val="22"/>
              </w:rPr>
              <w:t>5.2.2</w:t>
            </w:r>
          </w:p>
        </w:tc>
        <w:tc>
          <w:tcPr>
            <w:tcW w:w="7511" w:type="dxa"/>
            <w:vAlign w:val="top"/>
          </w:tcPr>
          <w:p w14:paraId="0CCD3A5C">
            <w:pPr>
              <w:pStyle w:val="16"/>
              <w:spacing w:before="29" w:line="242" w:lineRule="auto"/>
              <w:ind w:left="6" w:right="37"/>
            </w:pPr>
            <w:r>
              <w:rPr>
                <w:spacing w:val="-1"/>
              </w:rPr>
              <w:t>支持各家医院采购员单独提交采购申请、各家医院采购管理员进行采购初审的</w:t>
            </w:r>
            <w:r>
              <w:rPr>
                <w:spacing w:val="-7"/>
              </w:rPr>
              <w:t>流程管理。</w:t>
            </w:r>
          </w:p>
        </w:tc>
        <w:tc>
          <w:tcPr>
            <w:tcW w:w="780" w:type="dxa"/>
            <w:vAlign w:val="top"/>
          </w:tcPr>
          <w:p w14:paraId="32B83D89">
            <w:pPr>
              <w:rPr>
                <w:rFonts w:ascii="Arial"/>
                <w:sz w:val="21"/>
              </w:rPr>
            </w:pPr>
          </w:p>
        </w:tc>
      </w:tr>
      <w:tr w14:paraId="4A433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0" w:hRule="atLeast"/>
        </w:trPr>
        <w:tc>
          <w:tcPr>
            <w:tcW w:w="848" w:type="dxa"/>
            <w:vAlign w:val="top"/>
          </w:tcPr>
          <w:p w14:paraId="7355B74E">
            <w:pPr>
              <w:spacing w:line="323" w:lineRule="auto"/>
              <w:rPr>
                <w:rFonts w:ascii="Arial"/>
                <w:sz w:val="21"/>
              </w:rPr>
            </w:pPr>
          </w:p>
          <w:p w14:paraId="45D5C0D2">
            <w:pPr>
              <w:spacing w:before="64" w:line="300" w:lineRule="exact"/>
              <w:ind w:left="185"/>
              <w:rPr>
                <w:rFonts w:ascii="Arial" w:hAnsi="Arial" w:eastAsia="Arial" w:cs="Arial"/>
                <w:sz w:val="22"/>
                <w:szCs w:val="22"/>
              </w:rPr>
            </w:pPr>
            <w:r>
              <w:rPr>
                <w:rFonts w:ascii="Arial" w:hAnsi="Arial" w:eastAsia="Arial" w:cs="Arial"/>
                <w:spacing w:val="-2"/>
                <w:position w:val="1"/>
                <w:sz w:val="22"/>
                <w:szCs w:val="22"/>
              </w:rPr>
              <w:t>5.2.3</w:t>
            </w:r>
          </w:p>
        </w:tc>
        <w:tc>
          <w:tcPr>
            <w:tcW w:w="7511" w:type="dxa"/>
            <w:vAlign w:val="top"/>
          </w:tcPr>
          <w:p w14:paraId="5DF1083D">
            <w:pPr>
              <w:pStyle w:val="16"/>
              <w:spacing w:before="31" w:line="241" w:lineRule="auto"/>
              <w:ind w:left="26" w:right="37" w:hanging="20"/>
            </w:pPr>
            <w:r>
              <w:rPr>
                <w:spacing w:val="-1"/>
              </w:rPr>
              <w:t>支持医共体中心（云）药房进行采购申请单二次审核，通过或者驳回。提供驳回理由管理，提供采购订单的查询，统计功能，提供采购申</w:t>
            </w:r>
            <w:r>
              <w:rPr>
                <w:spacing w:val="-2"/>
              </w:rPr>
              <w:t>请单导出功能。</w:t>
            </w:r>
          </w:p>
        </w:tc>
        <w:tc>
          <w:tcPr>
            <w:tcW w:w="780" w:type="dxa"/>
            <w:vAlign w:val="top"/>
          </w:tcPr>
          <w:p w14:paraId="3CF54F45">
            <w:pPr>
              <w:rPr>
                <w:rFonts w:ascii="Arial"/>
                <w:sz w:val="21"/>
              </w:rPr>
            </w:pPr>
          </w:p>
        </w:tc>
      </w:tr>
      <w:tr w14:paraId="63E03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848" w:type="dxa"/>
            <w:vAlign w:val="top"/>
          </w:tcPr>
          <w:p w14:paraId="1377DF54">
            <w:pPr>
              <w:spacing w:before="211" w:line="300" w:lineRule="exact"/>
              <w:ind w:left="185"/>
              <w:rPr>
                <w:rFonts w:ascii="Arial" w:hAnsi="Arial" w:eastAsia="Arial" w:cs="Arial"/>
                <w:sz w:val="22"/>
                <w:szCs w:val="22"/>
              </w:rPr>
            </w:pPr>
            <w:r>
              <w:rPr>
                <w:rFonts w:ascii="Arial" w:hAnsi="Arial" w:eastAsia="Arial" w:cs="Arial"/>
                <w:spacing w:val="-2"/>
                <w:position w:val="1"/>
                <w:sz w:val="22"/>
                <w:szCs w:val="22"/>
              </w:rPr>
              <w:t>5.2.4</w:t>
            </w:r>
          </w:p>
        </w:tc>
        <w:tc>
          <w:tcPr>
            <w:tcW w:w="7511" w:type="dxa"/>
            <w:vAlign w:val="top"/>
          </w:tcPr>
          <w:p w14:paraId="488624E5">
            <w:pPr>
              <w:pStyle w:val="16"/>
              <w:spacing w:before="32"/>
              <w:ind w:left="4" w:right="212" w:firstLine="2"/>
            </w:pPr>
            <w:r>
              <w:rPr>
                <w:spacing w:val="-1"/>
              </w:rPr>
              <w:t>支持基于医保招采子系统的模版生成数据，直接导出</w:t>
            </w:r>
            <w:r>
              <w:rPr>
                <w:rFonts w:ascii="Arial" w:hAnsi="Arial" w:eastAsia="Arial" w:cs="Arial"/>
                <w:spacing w:val="-1"/>
              </w:rPr>
              <w:t>EXCEL</w:t>
            </w:r>
            <w:r>
              <w:rPr>
                <w:spacing w:val="-1"/>
              </w:rPr>
              <w:t>，在省集采平台进行导入自动下单。</w:t>
            </w:r>
          </w:p>
        </w:tc>
        <w:tc>
          <w:tcPr>
            <w:tcW w:w="780" w:type="dxa"/>
            <w:vAlign w:val="top"/>
          </w:tcPr>
          <w:p w14:paraId="1A7528A5">
            <w:pPr>
              <w:rPr>
                <w:rFonts w:ascii="Arial"/>
                <w:sz w:val="21"/>
              </w:rPr>
            </w:pPr>
          </w:p>
        </w:tc>
      </w:tr>
      <w:tr w14:paraId="368E6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48" w:type="dxa"/>
            <w:vAlign w:val="top"/>
          </w:tcPr>
          <w:p w14:paraId="70AAB500">
            <w:pPr>
              <w:spacing w:before="134" w:line="301" w:lineRule="exact"/>
              <w:ind w:left="276"/>
              <w:rPr>
                <w:rFonts w:ascii="Arial" w:hAnsi="Arial" w:eastAsia="Arial" w:cs="Arial"/>
                <w:sz w:val="22"/>
                <w:szCs w:val="22"/>
              </w:rPr>
            </w:pPr>
            <w:r>
              <w:rPr>
                <w:rFonts w:ascii="Arial" w:hAnsi="Arial" w:eastAsia="Arial" w:cs="Arial"/>
                <w:spacing w:val="-3"/>
                <w:position w:val="1"/>
                <w:sz w:val="22"/>
                <w:szCs w:val="22"/>
              </w:rPr>
              <w:t>5.3</w:t>
            </w:r>
          </w:p>
        </w:tc>
        <w:tc>
          <w:tcPr>
            <w:tcW w:w="7511" w:type="dxa"/>
            <w:vAlign w:val="top"/>
          </w:tcPr>
          <w:p w14:paraId="1607090F">
            <w:pPr>
              <w:pStyle w:val="16"/>
              <w:spacing w:before="31" w:line="222" w:lineRule="auto"/>
              <w:ind w:left="6" w:right="37" w:hanging="1"/>
            </w:pPr>
            <w:r>
              <w:rPr>
                <w:spacing w:val="-1"/>
              </w:rPr>
              <w:t>采购订单跟踪：实现采购订单的全程追踪，包含采购申请、医药配送商处理阶</w:t>
            </w:r>
            <w:r>
              <w:rPr>
                <w:spacing w:val="-2"/>
              </w:rPr>
              <w:t>段、医药配送商物流配送、医院验收入库等。</w:t>
            </w:r>
          </w:p>
        </w:tc>
        <w:tc>
          <w:tcPr>
            <w:tcW w:w="780" w:type="dxa"/>
            <w:vAlign w:val="top"/>
          </w:tcPr>
          <w:p w14:paraId="4A3A1551">
            <w:pPr>
              <w:rPr>
                <w:rFonts w:ascii="Arial"/>
                <w:sz w:val="21"/>
              </w:rPr>
            </w:pPr>
          </w:p>
        </w:tc>
      </w:tr>
      <w:tr w14:paraId="74406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48" w:type="dxa"/>
            <w:vAlign w:val="top"/>
          </w:tcPr>
          <w:p w14:paraId="552B3C5E">
            <w:pPr>
              <w:pStyle w:val="16"/>
              <w:spacing w:before="150" w:line="225" w:lineRule="auto"/>
              <w:ind w:left="320"/>
            </w:pPr>
            <w:r>
              <w:rPr>
                <w:b/>
                <w:bCs/>
                <w:spacing w:val="-3"/>
              </w:rPr>
              <w:t>六</w:t>
            </w:r>
          </w:p>
        </w:tc>
        <w:tc>
          <w:tcPr>
            <w:tcW w:w="7511" w:type="dxa"/>
            <w:vAlign w:val="top"/>
          </w:tcPr>
          <w:p w14:paraId="5DCDB914">
            <w:pPr>
              <w:pStyle w:val="16"/>
              <w:spacing w:before="33" w:line="220" w:lineRule="auto"/>
              <w:ind w:left="7"/>
            </w:pPr>
            <w:r>
              <w:rPr>
                <w:b/>
                <w:bCs/>
                <w:spacing w:val="-4"/>
              </w:rPr>
              <w:t>库存管理</w:t>
            </w:r>
          </w:p>
        </w:tc>
        <w:tc>
          <w:tcPr>
            <w:tcW w:w="780" w:type="dxa"/>
            <w:vAlign w:val="top"/>
          </w:tcPr>
          <w:p w14:paraId="2095182F">
            <w:pPr>
              <w:rPr>
                <w:rFonts w:ascii="Arial"/>
                <w:sz w:val="21"/>
              </w:rPr>
            </w:pPr>
          </w:p>
        </w:tc>
      </w:tr>
      <w:tr w14:paraId="20C03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48" w:type="dxa"/>
            <w:vAlign w:val="top"/>
          </w:tcPr>
          <w:p w14:paraId="5621E425">
            <w:pPr>
              <w:spacing w:before="134" w:line="301" w:lineRule="exact"/>
              <w:ind w:left="275"/>
              <w:rPr>
                <w:rFonts w:ascii="Arial" w:hAnsi="Arial" w:eastAsia="Arial" w:cs="Arial"/>
                <w:sz w:val="22"/>
                <w:szCs w:val="22"/>
              </w:rPr>
            </w:pPr>
            <w:r>
              <w:rPr>
                <w:rFonts w:ascii="Arial" w:hAnsi="Arial" w:eastAsia="Arial" w:cs="Arial"/>
                <w:spacing w:val="-3"/>
                <w:position w:val="1"/>
                <w:sz w:val="22"/>
                <w:szCs w:val="22"/>
              </w:rPr>
              <w:t>6.1</w:t>
            </w:r>
          </w:p>
        </w:tc>
        <w:tc>
          <w:tcPr>
            <w:tcW w:w="7511" w:type="dxa"/>
            <w:vAlign w:val="top"/>
          </w:tcPr>
          <w:p w14:paraId="5AB3DDBC">
            <w:pPr>
              <w:pStyle w:val="16"/>
              <w:spacing w:before="30" w:line="222" w:lineRule="auto"/>
              <w:ind w:left="11" w:right="37" w:hanging="3"/>
            </w:pPr>
            <w:r>
              <w:rPr>
                <w:spacing w:val="-1"/>
              </w:rPr>
              <w:t>药库管理：实现县域药房库的多级设定与管理，通过分层管理模式实现资源的高效配置与精准管控，支持各级库优先级、相应参</w:t>
            </w:r>
            <w:r>
              <w:rPr>
                <w:spacing w:val="-2"/>
              </w:rPr>
              <w:t>数及响应参数设定。</w:t>
            </w:r>
          </w:p>
        </w:tc>
        <w:tc>
          <w:tcPr>
            <w:tcW w:w="780" w:type="dxa"/>
            <w:vAlign w:val="top"/>
          </w:tcPr>
          <w:p w14:paraId="599C0EC6">
            <w:pPr>
              <w:rPr>
                <w:rFonts w:ascii="Arial"/>
                <w:sz w:val="21"/>
              </w:rPr>
            </w:pPr>
          </w:p>
        </w:tc>
      </w:tr>
      <w:tr w14:paraId="73C10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848" w:type="dxa"/>
            <w:vAlign w:val="top"/>
          </w:tcPr>
          <w:p w14:paraId="0F30D2BD">
            <w:pPr>
              <w:spacing w:before="277" w:line="301" w:lineRule="exact"/>
              <w:ind w:left="184"/>
              <w:rPr>
                <w:rFonts w:ascii="Arial" w:hAnsi="Arial" w:eastAsia="Arial" w:cs="Arial"/>
                <w:sz w:val="22"/>
                <w:szCs w:val="22"/>
              </w:rPr>
            </w:pPr>
            <w:r>
              <w:rPr>
                <w:rFonts w:ascii="Arial" w:hAnsi="Arial" w:eastAsia="Arial" w:cs="Arial"/>
                <w:spacing w:val="-2"/>
                <w:position w:val="1"/>
                <w:sz w:val="22"/>
                <w:szCs w:val="22"/>
              </w:rPr>
              <w:t>6.1.1</w:t>
            </w:r>
          </w:p>
        </w:tc>
        <w:tc>
          <w:tcPr>
            <w:tcW w:w="7511" w:type="dxa"/>
            <w:vAlign w:val="top"/>
          </w:tcPr>
          <w:p w14:paraId="238D7565">
            <w:pPr>
              <w:pStyle w:val="16"/>
              <w:spacing w:before="2" w:line="236" w:lineRule="auto"/>
              <w:ind w:left="8" w:right="50"/>
              <w:jc w:val="both"/>
            </w:pPr>
            <w:r>
              <w:rPr>
                <w:spacing w:val="-1"/>
              </w:rPr>
              <w:t>一级库</w:t>
            </w:r>
            <w:r>
              <w:rPr>
                <w:rFonts w:ascii="Arial" w:hAnsi="Arial" w:eastAsia="Arial" w:cs="Arial"/>
                <w:spacing w:val="-1"/>
              </w:rPr>
              <w:t>(</w:t>
            </w:r>
            <w:r>
              <w:rPr>
                <w:spacing w:val="-1"/>
              </w:rPr>
              <w:t>医院实体药房管理</w:t>
            </w:r>
            <w:r>
              <w:rPr>
                <w:rFonts w:ascii="Arial" w:hAnsi="Arial" w:eastAsia="Arial" w:cs="Arial"/>
                <w:spacing w:val="-1"/>
              </w:rPr>
              <w:t>)</w:t>
            </w:r>
            <w:r>
              <w:rPr>
                <w:spacing w:val="-1"/>
              </w:rPr>
              <w:t>：作为终端节点，负责院内药品的日常存储与发放</w:t>
            </w:r>
            <w:r>
              <w:rPr>
                <w:spacing w:val="15"/>
              </w:rPr>
              <w:t xml:space="preserve"> </w:t>
            </w:r>
            <w:r>
              <w:rPr>
                <w:spacing w:val="2"/>
              </w:rPr>
              <w:t>,依托信息化系统实时监控库存量、效期批次及消耗动态，确保临床用药及时</w:t>
            </w:r>
            <w:r>
              <w:rPr>
                <w:spacing w:val="-2"/>
              </w:rPr>
              <w:t>性与安全性。</w:t>
            </w:r>
          </w:p>
        </w:tc>
        <w:tc>
          <w:tcPr>
            <w:tcW w:w="780" w:type="dxa"/>
            <w:vAlign w:val="top"/>
          </w:tcPr>
          <w:p w14:paraId="6EA82B1E">
            <w:pPr>
              <w:rPr>
                <w:rFonts w:ascii="Arial"/>
                <w:sz w:val="21"/>
              </w:rPr>
            </w:pPr>
          </w:p>
        </w:tc>
      </w:tr>
      <w:tr w14:paraId="4D49E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848" w:type="dxa"/>
            <w:vAlign w:val="top"/>
          </w:tcPr>
          <w:p w14:paraId="5980366E">
            <w:pPr>
              <w:spacing w:before="278" w:line="300" w:lineRule="exact"/>
              <w:ind w:left="184"/>
              <w:rPr>
                <w:rFonts w:ascii="Arial" w:hAnsi="Arial" w:eastAsia="Arial" w:cs="Arial"/>
                <w:sz w:val="22"/>
                <w:szCs w:val="22"/>
              </w:rPr>
            </w:pPr>
            <w:r>
              <w:rPr>
                <w:rFonts w:ascii="Arial" w:hAnsi="Arial" w:eastAsia="Arial" w:cs="Arial"/>
                <w:spacing w:val="-2"/>
                <w:position w:val="1"/>
                <w:sz w:val="22"/>
                <w:szCs w:val="22"/>
              </w:rPr>
              <w:t>6.1.2</w:t>
            </w:r>
          </w:p>
        </w:tc>
        <w:tc>
          <w:tcPr>
            <w:tcW w:w="7511" w:type="dxa"/>
            <w:vAlign w:val="top"/>
          </w:tcPr>
          <w:p w14:paraId="71C1C621">
            <w:pPr>
              <w:pStyle w:val="16"/>
              <w:spacing w:before="1" w:line="236" w:lineRule="auto"/>
              <w:ind w:left="6" w:right="37" w:firstLine="2"/>
              <w:jc w:val="both"/>
            </w:pPr>
            <w:r>
              <w:rPr>
                <w:spacing w:val="-1"/>
              </w:rPr>
              <w:t>二级库</w:t>
            </w:r>
            <w:r>
              <w:rPr>
                <w:rFonts w:ascii="Arial" w:hAnsi="Arial" w:eastAsia="Arial" w:cs="Arial"/>
                <w:spacing w:val="-1"/>
              </w:rPr>
              <w:t>(</w:t>
            </w:r>
            <w:r>
              <w:rPr>
                <w:spacing w:val="-1"/>
              </w:rPr>
              <w:t>供应商药房管理</w:t>
            </w:r>
            <w:r>
              <w:rPr>
                <w:rFonts w:ascii="Arial" w:hAnsi="Arial" w:eastAsia="Arial" w:cs="Arial"/>
                <w:spacing w:val="-1"/>
              </w:rPr>
              <w:t>)</w:t>
            </w:r>
            <w:r>
              <w:rPr>
                <w:spacing w:val="-1"/>
              </w:rPr>
              <w:t>：整合区域医药配送商资源，建立动态虚拟库存池，支持按需灵活调配药品，响应医院紧急补货需求，降低实体库容压力，同时利</w:t>
            </w:r>
            <w:r>
              <w:rPr>
                <w:spacing w:val="-3"/>
              </w:rPr>
              <w:t>用大数据预测优化采购计划。</w:t>
            </w:r>
          </w:p>
        </w:tc>
        <w:tc>
          <w:tcPr>
            <w:tcW w:w="780" w:type="dxa"/>
            <w:vAlign w:val="top"/>
          </w:tcPr>
          <w:p w14:paraId="1D0D4FB9">
            <w:pPr>
              <w:rPr>
                <w:rFonts w:ascii="Arial"/>
                <w:sz w:val="21"/>
              </w:rPr>
            </w:pPr>
          </w:p>
        </w:tc>
      </w:tr>
      <w:tr w14:paraId="4FD03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848" w:type="dxa"/>
            <w:vAlign w:val="top"/>
          </w:tcPr>
          <w:p w14:paraId="4208CE4E">
            <w:pPr>
              <w:spacing w:before="279" w:line="301" w:lineRule="exact"/>
              <w:ind w:left="275"/>
              <w:rPr>
                <w:rFonts w:ascii="Arial" w:hAnsi="Arial" w:eastAsia="Arial" w:cs="Arial"/>
                <w:sz w:val="22"/>
                <w:szCs w:val="22"/>
              </w:rPr>
            </w:pPr>
            <w:r>
              <w:rPr>
                <w:rFonts w:ascii="Arial" w:hAnsi="Arial" w:eastAsia="Arial" w:cs="Arial"/>
                <w:spacing w:val="-3"/>
                <w:position w:val="1"/>
                <w:sz w:val="22"/>
                <w:szCs w:val="22"/>
              </w:rPr>
              <w:t>6.2</w:t>
            </w:r>
          </w:p>
        </w:tc>
        <w:tc>
          <w:tcPr>
            <w:tcW w:w="7511" w:type="dxa"/>
            <w:vAlign w:val="top"/>
          </w:tcPr>
          <w:p w14:paraId="4A2F0E2F">
            <w:pPr>
              <w:pStyle w:val="16"/>
              <w:spacing w:before="2" w:line="236" w:lineRule="auto"/>
              <w:ind w:left="6" w:right="174" w:hanging="1"/>
              <w:jc w:val="both"/>
            </w:pPr>
            <w:r>
              <w:t>入库管理：对接各医院系统与医药配送商供应链系统，实时</w:t>
            </w:r>
            <w:r>
              <w:rPr>
                <w:spacing w:val="-1"/>
              </w:rPr>
              <w:t>展示区域整体</w:t>
            </w:r>
            <w:r>
              <w:rPr>
                <w:rFonts w:ascii="Arial" w:hAnsi="Arial" w:eastAsia="Arial" w:cs="Arial"/>
                <w:spacing w:val="-1"/>
              </w:rPr>
              <w:t>(</w:t>
            </w:r>
            <w:r>
              <w:rPr>
                <w:spacing w:val="-1"/>
              </w:rPr>
              <w:t>区域整体库</w:t>
            </w:r>
            <w:r>
              <w:rPr>
                <w:rFonts w:ascii="Arial" w:hAnsi="Arial" w:eastAsia="Arial" w:cs="Arial"/>
                <w:spacing w:val="-1"/>
              </w:rPr>
              <w:t>)</w:t>
            </w:r>
            <w:r>
              <w:rPr>
                <w:spacing w:val="-1"/>
              </w:rPr>
              <w:t>药品入库相关信息。包含采购订单、供应商资质、药品批号、效期</w:t>
            </w:r>
            <w:r>
              <w:rPr>
                <w:spacing w:val="1"/>
              </w:rPr>
              <w:t xml:space="preserve"> </w:t>
            </w:r>
            <w:r>
              <w:rPr>
                <w:spacing w:val="-3"/>
              </w:rPr>
              <w:t>、验收合格等信息并实时更新库存量。</w:t>
            </w:r>
          </w:p>
        </w:tc>
        <w:tc>
          <w:tcPr>
            <w:tcW w:w="780" w:type="dxa"/>
            <w:vAlign w:val="top"/>
          </w:tcPr>
          <w:p w14:paraId="527B7A9A">
            <w:pPr>
              <w:rPr>
                <w:rFonts w:ascii="Arial"/>
                <w:sz w:val="21"/>
              </w:rPr>
            </w:pPr>
          </w:p>
        </w:tc>
      </w:tr>
      <w:tr w14:paraId="176ED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48" w:type="dxa"/>
            <w:vAlign w:val="top"/>
          </w:tcPr>
          <w:p w14:paraId="5300500A">
            <w:pPr>
              <w:spacing w:before="114" w:line="301" w:lineRule="exact"/>
              <w:ind w:left="275"/>
              <w:rPr>
                <w:rFonts w:ascii="Arial" w:hAnsi="Arial" w:eastAsia="Arial" w:cs="Arial"/>
                <w:sz w:val="22"/>
                <w:szCs w:val="22"/>
              </w:rPr>
            </w:pPr>
            <w:r>
              <w:rPr>
                <w:rFonts w:ascii="Arial" w:hAnsi="Arial" w:eastAsia="Arial" w:cs="Arial"/>
                <w:spacing w:val="-3"/>
                <w:position w:val="1"/>
                <w:sz w:val="22"/>
                <w:szCs w:val="22"/>
              </w:rPr>
              <w:t>6.3</w:t>
            </w:r>
          </w:p>
        </w:tc>
        <w:tc>
          <w:tcPr>
            <w:tcW w:w="7511" w:type="dxa"/>
            <w:vAlign w:val="top"/>
          </w:tcPr>
          <w:p w14:paraId="31CA5053">
            <w:pPr>
              <w:pStyle w:val="16"/>
              <w:spacing w:before="34" w:line="220" w:lineRule="auto"/>
              <w:ind w:left="25"/>
            </w:pPr>
            <w:r>
              <w:rPr>
                <w:spacing w:val="-7"/>
              </w:rPr>
              <w:t>出库管理</w:t>
            </w:r>
          </w:p>
        </w:tc>
        <w:tc>
          <w:tcPr>
            <w:tcW w:w="780" w:type="dxa"/>
            <w:vAlign w:val="top"/>
          </w:tcPr>
          <w:p w14:paraId="7B4F198D">
            <w:pPr>
              <w:rPr>
                <w:rFonts w:ascii="Arial"/>
                <w:sz w:val="21"/>
              </w:rPr>
            </w:pPr>
          </w:p>
        </w:tc>
      </w:tr>
      <w:tr w14:paraId="0D5B0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848" w:type="dxa"/>
            <w:vAlign w:val="top"/>
          </w:tcPr>
          <w:p w14:paraId="25D6579F">
            <w:pPr>
              <w:spacing w:line="325" w:lineRule="auto"/>
              <w:rPr>
                <w:rFonts w:ascii="Arial"/>
                <w:sz w:val="21"/>
              </w:rPr>
            </w:pPr>
          </w:p>
          <w:p w14:paraId="00A34027">
            <w:pPr>
              <w:spacing w:before="64" w:line="300" w:lineRule="exact"/>
              <w:ind w:left="184"/>
              <w:rPr>
                <w:rFonts w:ascii="Arial" w:hAnsi="Arial" w:eastAsia="Arial" w:cs="Arial"/>
                <w:sz w:val="22"/>
                <w:szCs w:val="22"/>
              </w:rPr>
            </w:pPr>
            <w:r>
              <w:rPr>
                <w:rFonts w:ascii="Arial" w:hAnsi="Arial" w:eastAsia="Arial" w:cs="Arial"/>
                <w:spacing w:val="-2"/>
                <w:position w:val="1"/>
                <w:sz w:val="22"/>
                <w:szCs w:val="22"/>
              </w:rPr>
              <w:t>6.3.1</w:t>
            </w:r>
          </w:p>
        </w:tc>
        <w:tc>
          <w:tcPr>
            <w:tcW w:w="7511" w:type="dxa"/>
            <w:vAlign w:val="top"/>
          </w:tcPr>
          <w:p w14:paraId="4EF22120">
            <w:pPr>
              <w:pStyle w:val="16"/>
              <w:spacing w:line="242" w:lineRule="auto"/>
              <w:ind w:left="5" w:right="110"/>
              <w:jc w:val="both"/>
            </w:pPr>
            <w:r>
              <w:t>对接各医院</w:t>
            </w:r>
            <w:r>
              <w:rPr>
                <w:rFonts w:ascii="Arial" w:hAnsi="Arial" w:eastAsia="Arial" w:cs="Arial"/>
              </w:rPr>
              <w:t>(</w:t>
            </w:r>
            <w:r>
              <w:t>一级库</w:t>
            </w:r>
            <w:r>
              <w:rPr>
                <w:rFonts w:ascii="Arial" w:hAnsi="Arial" w:eastAsia="Arial" w:cs="Arial"/>
              </w:rPr>
              <w:t>)</w:t>
            </w:r>
            <w:r>
              <w:t>系统与医药配送商</w:t>
            </w:r>
            <w:r>
              <w:rPr>
                <w:rFonts w:ascii="Arial" w:hAnsi="Arial" w:eastAsia="Arial" w:cs="Arial"/>
              </w:rPr>
              <w:t>(</w:t>
            </w:r>
            <w:r>
              <w:t>二级库</w:t>
            </w:r>
            <w:r>
              <w:rPr>
                <w:rFonts w:ascii="Arial" w:hAnsi="Arial" w:eastAsia="Arial" w:cs="Arial"/>
              </w:rPr>
              <w:t>)</w:t>
            </w:r>
            <w:r>
              <w:t>供</w:t>
            </w:r>
            <w:r>
              <w:rPr>
                <w:spacing w:val="-1"/>
              </w:rPr>
              <w:t>应链系统，实时展示区域整体</w:t>
            </w:r>
            <w:r>
              <w:rPr>
                <w:rFonts w:ascii="Arial" w:hAnsi="Arial" w:eastAsia="Arial" w:cs="Arial"/>
                <w:spacing w:val="-1"/>
              </w:rPr>
              <w:t>(</w:t>
            </w:r>
            <w:r>
              <w:rPr>
                <w:spacing w:val="-1"/>
              </w:rPr>
              <w:t>区域整体库</w:t>
            </w:r>
            <w:r>
              <w:rPr>
                <w:rFonts w:ascii="Arial" w:hAnsi="Arial" w:eastAsia="Arial" w:cs="Arial"/>
                <w:spacing w:val="-1"/>
              </w:rPr>
              <w:t>)</w:t>
            </w:r>
            <w:r>
              <w:rPr>
                <w:spacing w:val="-1"/>
              </w:rPr>
              <w:t>药品出库相关信息。包含处方医嘱、跨机构调度任务、二级库</w:t>
            </w:r>
            <w:r>
              <w:rPr>
                <w:spacing w:val="-2"/>
              </w:rPr>
              <w:t>转入一级库等信息并实时更新库存量。</w:t>
            </w:r>
          </w:p>
        </w:tc>
        <w:tc>
          <w:tcPr>
            <w:tcW w:w="780" w:type="dxa"/>
            <w:vAlign w:val="top"/>
          </w:tcPr>
          <w:p w14:paraId="5F569C8B">
            <w:pPr>
              <w:rPr>
                <w:rFonts w:ascii="Arial"/>
                <w:sz w:val="21"/>
              </w:rPr>
            </w:pPr>
          </w:p>
        </w:tc>
      </w:tr>
    </w:tbl>
    <w:p w14:paraId="4981E4EE">
      <w:pPr>
        <w:rPr>
          <w:rFonts w:ascii="Arial"/>
          <w:sz w:val="21"/>
        </w:rPr>
      </w:pPr>
    </w:p>
    <w:p w14:paraId="582B8E96">
      <w:pPr>
        <w:rPr>
          <w:rFonts w:ascii="Arial" w:hAnsi="Arial" w:eastAsia="Arial" w:cs="Arial"/>
          <w:sz w:val="21"/>
          <w:szCs w:val="21"/>
        </w:rPr>
        <w:sectPr>
          <w:pgSz w:w="11907" w:h="16839"/>
          <w:pgMar w:top="1431" w:right="1386" w:bottom="0" w:left="1376" w:header="0" w:footer="0" w:gutter="0"/>
          <w:pgBorders>
            <w:top w:val="none" w:sz="0" w:space="0"/>
            <w:left w:val="none" w:sz="0" w:space="0"/>
            <w:bottom w:val="none" w:sz="0" w:space="0"/>
            <w:right w:val="none" w:sz="0" w:space="0"/>
          </w:pgBorders>
          <w:cols w:space="720" w:num="1"/>
        </w:sectPr>
      </w:pPr>
    </w:p>
    <w:p w14:paraId="35D05EFB">
      <w:pPr>
        <w:spacing w:line="94" w:lineRule="auto"/>
        <w:rPr>
          <w:rFonts w:ascii="Arial"/>
          <w:sz w:val="2"/>
        </w:rPr>
      </w:pPr>
    </w:p>
    <w:tbl>
      <w:tblPr>
        <w:tblStyle w:val="17"/>
        <w:tblW w:w="91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8"/>
        <w:gridCol w:w="7511"/>
        <w:gridCol w:w="780"/>
      </w:tblGrid>
      <w:tr w14:paraId="01FA2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848" w:type="dxa"/>
            <w:vAlign w:val="top"/>
          </w:tcPr>
          <w:p w14:paraId="143271BC">
            <w:pPr>
              <w:spacing w:line="325" w:lineRule="auto"/>
              <w:rPr>
                <w:rFonts w:ascii="Arial"/>
                <w:sz w:val="21"/>
              </w:rPr>
            </w:pPr>
          </w:p>
          <w:p w14:paraId="622FABB0">
            <w:pPr>
              <w:spacing w:before="63" w:line="300" w:lineRule="exact"/>
              <w:ind w:left="184"/>
              <w:rPr>
                <w:rFonts w:ascii="Arial" w:hAnsi="Arial" w:eastAsia="Arial" w:cs="Arial"/>
                <w:sz w:val="22"/>
                <w:szCs w:val="22"/>
              </w:rPr>
            </w:pPr>
            <w:r>
              <w:rPr>
                <w:rFonts w:ascii="Arial" w:hAnsi="Arial" w:eastAsia="Arial" w:cs="Arial"/>
                <w:spacing w:val="-2"/>
                <w:position w:val="1"/>
                <w:sz w:val="22"/>
                <w:szCs w:val="22"/>
              </w:rPr>
              <w:t>6.3.2</w:t>
            </w:r>
          </w:p>
        </w:tc>
        <w:tc>
          <w:tcPr>
            <w:tcW w:w="7511" w:type="dxa"/>
            <w:vAlign w:val="top"/>
          </w:tcPr>
          <w:p w14:paraId="244E18C8">
            <w:pPr>
              <w:pStyle w:val="16"/>
              <w:spacing w:before="31" w:line="241" w:lineRule="auto"/>
              <w:ind w:left="10" w:right="37" w:hanging="5"/>
              <w:jc w:val="both"/>
            </w:pPr>
            <w:r>
              <w:rPr>
                <w:spacing w:val="-1"/>
              </w:rPr>
              <w:t>对接各医院系统药品追溯码信息，获取药品准确的消耗信息。获取精确的药品消耗及有效期信息。实时展示区域内整体药品的有效期信息。精确进行有效期</w:t>
            </w:r>
            <w:r>
              <w:rPr>
                <w:spacing w:val="-4"/>
              </w:rPr>
              <w:t>管理。</w:t>
            </w:r>
          </w:p>
        </w:tc>
        <w:tc>
          <w:tcPr>
            <w:tcW w:w="780" w:type="dxa"/>
            <w:vAlign w:val="top"/>
          </w:tcPr>
          <w:p w14:paraId="7C39637C">
            <w:pPr>
              <w:rPr>
                <w:rFonts w:ascii="Arial"/>
                <w:sz w:val="21"/>
              </w:rPr>
            </w:pPr>
          </w:p>
        </w:tc>
      </w:tr>
      <w:tr w14:paraId="7A84A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6" w:hRule="atLeast"/>
        </w:trPr>
        <w:tc>
          <w:tcPr>
            <w:tcW w:w="848" w:type="dxa"/>
            <w:vAlign w:val="top"/>
          </w:tcPr>
          <w:p w14:paraId="6F85694A">
            <w:pPr>
              <w:spacing w:line="246" w:lineRule="auto"/>
              <w:rPr>
                <w:rFonts w:ascii="Arial"/>
                <w:sz w:val="21"/>
              </w:rPr>
            </w:pPr>
          </w:p>
          <w:p w14:paraId="3213A484">
            <w:pPr>
              <w:spacing w:line="247" w:lineRule="auto"/>
              <w:rPr>
                <w:rFonts w:ascii="Arial"/>
                <w:sz w:val="21"/>
              </w:rPr>
            </w:pPr>
          </w:p>
          <w:p w14:paraId="4F2964BC">
            <w:pPr>
              <w:spacing w:before="63" w:line="301" w:lineRule="exact"/>
              <w:ind w:left="275"/>
              <w:rPr>
                <w:rFonts w:ascii="Arial" w:hAnsi="Arial" w:eastAsia="Arial" w:cs="Arial"/>
                <w:sz w:val="22"/>
                <w:szCs w:val="22"/>
              </w:rPr>
            </w:pPr>
            <w:r>
              <w:rPr>
                <w:rFonts w:ascii="Arial" w:hAnsi="Arial" w:eastAsia="Arial" w:cs="Arial"/>
                <w:spacing w:val="-3"/>
                <w:position w:val="1"/>
                <w:sz w:val="22"/>
                <w:szCs w:val="22"/>
              </w:rPr>
              <w:t>6.4</w:t>
            </w:r>
          </w:p>
        </w:tc>
        <w:tc>
          <w:tcPr>
            <w:tcW w:w="7511" w:type="dxa"/>
            <w:vAlign w:val="top"/>
          </w:tcPr>
          <w:p w14:paraId="21B68C6D">
            <w:pPr>
              <w:pStyle w:val="16"/>
              <w:spacing w:before="30" w:line="220" w:lineRule="auto"/>
              <w:ind w:left="6"/>
            </w:pPr>
            <w:r>
              <w:rPr>
                <w:spacing w:val="-9"/>
              </w:rPr>
              <w:t>库存预警：</w:t>
            </w:r>
          </w:p>
          <w:p w14:paraId="2E0E144F">
            <w:pPr>
              <w:pStyle w:val="16"/>
              <w:spacing w:before="20"/>
              <w:ind w:left="27" w:right="37" w:hanging="16"/>
            </w:pPr>
            <w:r>
              <w:rPr>
                <w:spacing w:val="-1"/>
              </w:rPr>
              <w:t>实现药品低库存、药品积压及药品近效期实时预警，通过设定多级阀值生产不</w:t>
            </w:r>
            <w:r>
              <w:rPr>
                <w:spacing w:val="-3"/>
              </w:rPr>
              <w:t>同级别预警信息，并支持预警事件的后续协同处理。</w:t>
            </w:r>
          </w:p>
          <w:p w14:paraId="6ABC70D1">
            <w:pPr>
              <w:pStyle w:val="16"/>
              <w:spacing w:before="1" w:line="222" w:lineRule="auto"/>
              <w:ind w:left="8" w:right="37"/>
            </w:pPr>
            <w:r>
              <w:rPr>
                <w:spacing w:val="-1"/>
              </w:rPr>
              <w:t>药品低库存预警：根据设置的多级阀值，当库存量低于阀值线时生成低库存预警记录并支持预警事件业务处理，如提醒采购或调度。</w:t>
            </w:r>
          </w:p>
        </w:tc>
        <w:tc>
          <w:tcPr>
            <w:tcW w:w="780" w:type="dxa"/>
            <w:vAlign w:val="top"/>
          </w:tcPr>
          <w:p w14:paraId="6610B385">
            <w:pPr>
              <w:rPr>
                <w:rFonts w:ascii="Arial"/>
                <w:sz w:val="21"/>
              </w:rPr>
            </w:pPr>
          </w:p>
        </w:tc>
      </w:tr>
      <w:tr w14:paraId="21E5E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848" w:type="dxa"/>
            <w:vAlign w:val="top"/>
          </w:tcPr>
          <w:p w14:paraId="33378C81">
            <w:pPr>
              <w:spacing w:before="208" w:line="301" w:lineRule="exact"/>
              <w:ind w:left="184"/>
              <w:rPr>
                <w:rFonts w:ascii="Arial" w:hAnsi="Arial" w:eastAsia="Arial" w:cs="Arial"/>
                <w:sz w:val="22"/>
                <w:szCs w:val="22"/>
              </w:rPr>
            </w:pPr>
            <w:r>
              <w:rPr>
                <w:rFonts w:ascii="Arial" w:hAnsi="Arial" w:eastAsia="Arial" w:cs="Arial"/>
                <w:spacing w:val="-2"/>
                <w:position w:val="1"/>
                <w:sz w:val="22"/>
                <w:szCs w:val="22"/>
              </w:rPr>
              <w:t>6.4.1</w:t>
            </w:r>
          </w:p>
        </w:tc>
        <w:tc>
          <w:tcPr>
            <w:tcW w:w="7511" w:type="dxa"/>
            <w:vAlign w:val="top"/>
          </w:tcPr>
          <w:p w14:paraId="3AEA5A25">
            <w:pPr>
              <w:pStyle w:val="16"/>
              <w:spacing w:before="29" w:line="242" w:lineRule="auto"/>
              <w:ind w:left="6" w:right="37" w:firstLine="1"/>
            </w:pPr>
            <w:r>
              <w:rPr>
                <w:spacing w:val="-1"/>
              </w:rPr>
              <w:t>药品积压预警：根据设置的多级阀值，当库存量达到阀值线时生成预警记录并</w:t>
            </w:r>
            <w:r>
              <w:rPr>
                <w:spacing w:val="-2"/>
              </w:rPr>
              <w:t>支持预警事件业务处理，如警示或特别关注或调度。</w:t>
            </w:r>
          </w:p>
        </w:tc>
        <w:tc>
          <w:tcPr>
            <w:tcW w:w="780" w:type="dxa"/>
            <w:vAlign w:val="top"/>
          </w:tcPr>
          <w:p w14:paraId="27286EB6">
            <w:pPr>
              <w:spacing w:before="283" w:line="191" w:lineRule="auto"/>
              <w:ind w:left="311"/>
              <w:rPr>
                <w:rFonts w:hint="eastAsia" w:ascii="Arial" w:hAnsi="Arial" w:eastAsia="宋体" w:cs="Arial"/>
                <w:sz w:val="22"/>
                <w:szCs w:val="22"/>
                <w:lang w:eastAsia="zh-CN"/>
              </w:rPr>
            </w:pPr>
          </w:p>
        </w:tc>
      </w:tr>
      <w:tr w14:paraId="0C185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848" w:type="dxa"/>
            <w:vAlign w:val="top"/>
          </w:tcPr>
          <w:p w14:paraId="3F299907">
            <w:pPr>
              <w:spacing w:before="209" w:line="300" w:lineRule="exact"/>
              <w:ind w:left="184"/>
              <w:rPr>
                <w:rFonts w:ascii="Arial" w:hAnsi="Arial" w:eastAsia="Arial" w:cs="Arial"/>
                <w:sz w:val="22"/>
                <w:szCs w:val="22"/>
              </w:rPr>
            </w:pPr>
            <w:r>
              <w:rPr>
                <w:rFonts w:ascii="Arial" w:hAnsi="Arial" w:eastAsia="Arial" w:cs="Arial"/>
                <w:spacing w:val="-2"/>
                <w:position w:val="1"/>
                <w:sz w:val="22"/>
                <w:szCs w:val="22"/>
              </w:rPr>
              <w:t>6.4.2</w:t>
            </w:r>
          </w:p>
        </w:tc>
        <w:tc>
          <w:tcPr>
            <w:tcW w:w="7511" w:type="dxa"/>
            <w:vAlign w:val="top"/>
          </w:tcPr>
          <w:p w14:paraId="0B231C94">
            <w:pPr>
              <w:pStyle w:val="16"/>
              <w:spacing w:before="31" w:line="241" w:lineRule="auto"/>
              <w:ind w:left="10" w:right="37" w:hanging="2"/>
            </w:pPr>
            <w:r>
              <w:rPr>
                <w:spacing w:val="-1"/>
              </w:rPr>
              <w:t>药品近效期预警：根据设置的多级阀值，当近效期达到阀值线时生成预警记录</w:t>
            </w:r>
            <w:r>
              <w:rPr>
                <w:spacing w:val="-2"/>
              </w:rPr>
              <w:t>并支持预警事件业务处理，如退货、调度、销毁。</w:t>
            </w:r>
          </w:p>
        </w:tc>
        <w:tc>
          <w:tcPr>
            <w:tcW w:w="780" w:type="dxa"/>
            <w:vAlign w:val="top"/>
          </w:tcPr>
          <w:p w14:paraId="7B030E53">
            <w:pPr>
              <w:spacing w:before="283" w:line="191" w:lineRule="auto"/>
              <w:ind w:left="311"/>
              <w:rPr>
                <w:rFonts w:hint="eastAsia" w:ascii="Arial" w:hAnsi="Arial" w:eastAsia="宋体" w:cs="Arial"/>
                <w:sz w:val="22"/>
                <w:szCs w:val="22"/>
                <w:lang w:eastAsia="zh-CN"/>
              </w:rPr>
            </w:pPr>
          </w:p>
        </w:tc>
      </w:tr>
      <w:tr w14:paraId="259D1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48" w:type="dxa"/>
            <w:vAlign w:val="top"/>
          </w:tcPr>
          <w:p w14:paraId="6B52FB52">
            <w:pPr>
              <w:spacing w:before="110" w:line="301" w:lineRule="exact"/>
              <w:ind w:left="275"/>
              <w:rPr>
                <w:rFonts w:ascii="Arial" w:hAnsi="Arial" w:eastAsia="Arial" w:cs="Arial"/>
                <w:sz w:val="22"/>
                <w:szCs w:val="22"/>
              </w:rPr>
            </w:pPr>
            <w:r>
              <w:rPr>
                <w:rFonts w:ascii="Arial" w:hAnsi="Arial" w:eastAsia="Arial" w:cs="Arial"/>
                <w:spacing w:val="-3"/>
                <w:position w:val="1"/>
                <w:sz w:val="22"/>
                <w:szCs w:val="22"/>
              </w:rPr>
              <w:t>6.5</w:t>
            </w:r>
          </w:p>
        </w:tc>
        <w:tc>
          <w:tcPr>
            <w:tcW w:w="7511" w:type="dxa"/>
            <w:vAlign w:val="top"/>
          </w:tcPr>
          <w:p w14:paraId="211EAF56">
            <w:pPr>
              <w:pStyle w:val="16"/>
              <w:spacing w:before="31" w:line="220" w:lineRule="auto"/>
              <w:ind w:left="16"/>
            </w:pPr>
            <w:r>
              <w:rPr>
                <w:spacing w:val="-4"/>
              </w:rPr>
              <w:t>多维分析统计</w:t>
            </w:r>
          </w:p>
        </w:tc>
        <w:tc>
          <w:tcPr>
            <w:tcW w:w="780" w:type="dxa"/>
            <w:vAlign w:val="top"/>
          </w:tcPr>
          <w:p w14:paraId="6FD98D3D">
            <w:pPr>
              <w:rPr>
                <w:rFonts w:ascii="Arial"/>
                <w:sz w:val="21"/>
              </w:rPr>
            </w:pPr>
          </w:p>
        </w:tc>
      </w:tr>
      <w:tr w14:paraId="5A9AA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0" w:hRule="atLeast"/>
        </w:trPr>
        <w:tc>
          <w:tcPr>
            <w:tcW w:w="848" w:type="dxa"/>
            <w:vAlign w:val="top"/>
          </w:tcPr>
          <w:p w14:paraId="5E336495">
            <w:pPr>
              <w:spacing w:line="321" w:lineRule="auto"/>
              <w:rPr>
                <w:rFonts w:ascii="Arial"/>
                <w:sz w:val="21"/>
              </w:rPr>
            </w:pPr>
          </w:p>
          <w:p w14:paraId="2AA0E52C">
            <w:pPr>
              <w:spacing w:before="64" w:line="300" w:lineRule="exact"/>
              <w:ind w:left="184"/>
              <w:rPr>
                <w:rFonts w:ascii="Arial" w:hAnsi="Arial" w:eastAsia="Arial" w:cs="Arial"/>
                <w:sz w:val="22"/>
                <w:szCs w:val="22"/>
              </w:rPr>
            </w:pPr>
            <w:r>
              <w:rPr>
                <w:rFonts w:ascii="Arial" w:hAnsi="Arial" w:eastAsia="Arial" w:cs="Arial"/>
                <w:spacing w:val="-2"/>
                <w:position w:val="1"/>
                <w:sz w:val="22"/>
                <w:szCs w:val="22"/>
              </w:rPr>
              <w:t>6.5.1</w:t>
            </w:r>
          </w:p>
        </w:tc>
        <w:tc>
          <w:tcPr>
            <w:tcW w:w="7511" w:type="dxa"/>
            <w:vAlign w:val="top"/>
          </w:tcPr>
          <w:p w14:paraId="65F0A0A4">
            <w:pPr>
              <w:pStyle w:val="16"/>
              <w:spacing w:before="31"/>
              <w:ind w:left="5" w:right="37" w:firstLine="1"/>
              <w:jc w:val="both"/>
            </w:pPr>
            <w:r>
              <w:rPr>
                <w:spacing w:val="-1"/>
              </w:rPr>
              <w:t>支持药品实时库存量、分布位置、效期批次、采购状态等关键信息的多维度数据查询。并通过可视化图表直观呈现库存全景，系统自动生成预警（包括近效</w:t>
            </w:r>
            <w:r>
              <w:rPr>
                <w:spacing w:val="-3"/>
              </w:rPr>
              <w:t>期、库存阈值报警等）。</w:t>
            </w:r>
          </w:p>
        </w:tc>
        <w:tc>
          <w:tcPr>
            <w:tcW w:w="780" w:type="dxa"/>
            <w:vAlign w:val="top"/>
          </w:tcPr>
          <w:p w14:paraId="18BF4E11">
            <w:pPr>
              <w:rPr>
                <w:rFonts w:ascii="Arial"/>
                <w:sz w:val="21"/>
              </w:rPr>
            </w:pPr>
          </w:p>
        </w:tc>
      </w:tr>
      <w:tr w14:paraId="39A3B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trPr>
        <w:tc>
          <w:tcPr>
            <w:tcW w:w="848" w:type="dxa"/>
            <w:vAlign w:val="top"/>
          </w:tcPr>
          <w:p w14:paraId="3999BEF8">
            <w:pPr>
              <w:spacing w:line="247" w:lineRule="auto"/>
              <w:rPr>
                <w:rFonts w:ascii="Arial"/>
                <w:sz w:val="21"/>
              </w:rPr>
            </w:pPr>
          </w:p>
          <w:p w14:paraId="1F203155">
            <w:pPr>
              <w:spacing w:line="248" w:lineRule="auto"/>
              <w:rPr>
                <w:rFonts w:ascii="Arial"/>
                <w:sz w:val="21"/>
              </w:rPr>
            </w:pPr>
          </w:p>
          <w:p w14:paraId="5ACA8E8F">
            <w:pPr>
              <w:spacing w:before="64" w:line="300" w:lineRule="exact"/>
              <w:ind w:left="184"/>
              <w:rPr>
                <w:rFonts w:ascii="Arial" w:hAnsi="Arial" w:eastAsia="Arial" w:cs="Arial"/>
                <w:sz w:val="22"/>
                <w:szCs w:val="22"/>
              </w:rPr>
            </w:pPr>
            <w:r>
              <w:rPr>
                <w:rFonts w:ascii="Arial" w:hAnsi="Arial" w:eastAsia="Arial" w:cs="Arial"/>
                <w:spacing w:val="-2"/>
                <w:position w:val="1"/>
                <w:sz w:val="22"/>
                <w:szCs w:val="22"/>
              </w:rPr>
              <w:t>6.5.2</w:t>
            </w:r>
          </w:p>
        </w:tc>
        <w:tc>
          <w:tcPr>
            <w:tcW w:w="7511" w:type="dxa"/>
            <w:vAlign w:val="top"/>
          </w:tcPr>
          <w:p w14:paraId="4F42449F">
            <w:pPr>
              <w:pStyle w:val="16"/>
              <w:spacing w:before="29"/>
              <w:ind w:left="9" w:right="37" w:hanging="3"/>
            </w:pPr>
            <w:r>
              <w:rPr>
                <w:spacing w:val="-1"/>
              </w:rPr>
              <w:t>提供库存查询主界面，包括医院，药品名称，药品分类、近效期、价格、配送商等信息。提供下钻功能查看药品目录字典详情信息。</w:t>
            </w:r>
          </w:p>
          <w:p w14:paraId="362BD245">
            <w:pPr>
              <w:pStyle w:val="16"/>
              <w:spacing w:before="1" w:line="227" w:lineRule="auto"/>
              <w:ind w:left="5" w:right="70" w:firstLine="6"/>
            </w:pPr>
            <w:r>
              <w:rPr>
                <w:spacing w:val="-2"/>
              </w:rPr>
              <w:t>实现医药配送商目录管理、药品管理，包含医药配送商资料管理、资质审核、</w:t>
            </w:r>
            <w:r>
              <w:t>配送商评价管理以及配送商台帐管理等</w:t>
            </w:r>
            <w:r>
              <w:rPr>
                <w:rFonts w:ascii="Arial" w:hAnsi="Arial" w:eastAsia="Arial" w:cs="Arial"/>
              </w:rPr>
              <w:t>.</w:t>
            </w:r>
            <w:r>
              <w:t>整合县</w:t>
            </w:r>
            <w:r>
              <w:rPr>
                <w:spacing w:val="-1"/>
              </w:rPr>
              <w:t>域内所有医药配送企业，全流</w:t>
            </w:r>
            <w:r>
              <w:rPr>
                <w:spacing w:val="-3"/>
              </w:rPr>
              <w:t>程监控配送企业状态。</w:t>
            </w:r>
          </w:p>
        </w:tc>
        <w:tc>
          <w:tcPr>
            <w:tcW w:w="780" w:type="dxa"/>
            <w:vAlign w:val="top"/>
          </w:tcPr>
          <w:p w14:paraId="4CB08742">
            <w:pPr>
              <w:rPr>
                <w:rFonts w:ascii="Arial"/>
                <w:sz w:val="21"/>
              </w:rPr>
            </w:pPr>
          </w:p>
        </w:tc>
      </w:tr>
      <w:tr w14:paraId="7ECF7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48" w:type="dxa"/>
            <w:vAlign w:val="top"/>
          </w:tcPr>
          <w:p w14:paraId="6CC3788C">
            <w:pPr>
              <w:pStyle w:val="16"/>
              <w:spacing w:before="151" w:line="232" w:lineRule="auto"/>
              <w:ind w:left="318"/>
            </w:pPr>
            <w:r>
              <w:rPr>
                <w:b/>
                <w:bCs/>
                <w:spacing w:val="-3"/>
              </w:rPr>
              <w:t>七</w:t>
            </w:r>
            <w:bookmarkStart w:id="26" w:name="_GoBack"/>
            <w:bookmarkEnd w:id="26"/>
          </w:p>
        </w:tc>
        <w:tc>
          <w:tcPr>
            <w:tcW w:w="7511" w:type="dxa"/>
            <w:vAlign w:val="top"/>
          </w:tcPr>
          <w:p w14:paraId="76951FDA">
            <w:pPr>
              <w:pStyle w:val="16"/>
              <w:spacing w:before="34" w:line="220" w:lineRule="auto"/>
              <w:ind w:left="6"/>
            </w:pPr>
            <w:r>
              <w:rPr>
                <w:b/>
                <w:bCs/>
                <w:spacing w:val="-4"/>
              </w:rPr>
              <w:t>物流管理</w:t>
            </w:r>
          </w:p>
        </w:tc>
        <w:tc>
          <w:tcPr>
            <w:tcW w:w="780" w:type="dxa"/>
            <w:vAlign w:val="top"/>
          </w:tcPr>
          <w:p w14:paraId="5AEF82B7">
            <w:pPr>
              <w:rPr>
                <w:rFonts w:ascii="Arial"/>
                <w:sz w:val="21"/>
              </w:rPr>
            </w:pPr>
          </w:p>
        </w:tc>
      </w:tr>
      <w:tr w14:paraId="3725B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848" w:type="dxa"/>
            <w:vAlign w:val="top"/>
          </w:tcPr>
          <w:p w14:paraId="4A89E118">
            <w:pPr>
              <w:spacing w:line="280" w:lineRule="auto"/>
              <w:rPr>
                <w:rFonts w:ascii="Arial"/>
                <w:sz w:val="21"/>
              </w:rPr>
            </w:pPr>
          </w:p>
          <w:p w14:paraId="1334A0DF">
            <w:pPr>
              <w:spacing w:before="63" w:line="197" w:lineRule="auto"/>
              <w:ind w:left="277"/>
              <w:rPr>
                <w:rFonts w:ascii="Arial" w:hAnsi="Arial" w:eastAsia="Arial" w:cs="Arial"/>
                <w:sz w:val="22"/>
                <w:szCs w:val="22"/>
              </w:rPr>
            </w:pPr>
            <w:r>
              <w:rPr>
                <w:rFonts w:ascii="Arial" w:hAnsi="Arial" w:eastAsia="Arial" w:cs="Arial"/>
                <w:spacing w:val="-4"/>
                <w:sz w:val="22"/>
                <w:szCs w:val="22"/>
              </w:rPr>
              <w:t>7.1</w:t>
            </w:r>
          </w:p>
        </w:tc>
        <w:tc>
          <w:tcPr>
            <w:tcW w:w="7511" w:type="dxa"/>
            <w:vAlign w:val="top"/>
          </w:tcPr>
          <w:p w14:paraId="738F9515">
            <w:pPr>
              <w:pStyle w:val="16"/>
              <w:spacing w:before="34" w:line="204" w:lineRule="auto"/>
              <w:ind w:left="6"/>
            </w:pPr>
            <w:r>
              <w:rPr>
                <w:spacing w:val="-2"/>
              </w:rPr>
              <w:t>供应商管理</w:t>
            </w:r>
          </w:p>
          <w:p w14:paraId="03D2B533">
            <w:pPr>
              <w:pStyle w:val="16"/>
              <w:spacing w:before="1" w:line="238" w:lineRule="auto"/>
              <w:ind w:left="5" w:right="109"/>
            </w:pPr>
            <w:r>
              <w:t>对接医药配送商</w:t>
            </w:r>
            <w:r>
              <w:rPr>
                <w:rFonts w:ascii="Arial" w:hAnsi="Arial" w:eastAsia="Arial" w:cs="Arial"/>
              </w:rPr>
              <w:t>(</w:t>
            </w:r>
            <w:r>
              <w:t>二级库</w:t>
            </w:r>
            <w:r>
              <w:rPr>
                <w:rFonts w:ascii="Arial" w:hAnsi="Arial" w:eastAsia="Arial" w:cs="Arial"/>
              </w:rPr>
              <w:t>)</w:t>
            </w:r>
            <w:r>
              <w:t>物流系统，实时</w:t>
            </w:r>
            <w:r>
              <w:rPr>
                <w:spacing w:val="-1"/>
              </w:rPr>
              <w:t>同步整体药品配送订单相关信息。包</w:t>
            </w:r>
            <w:r>
              <w:rPr>
                <w:spacing w:val="-2"/>
              </w:rPr>
              <w:t>含配送订单信息、配送商信息、订单执行状态等。</w:t>
            </w:r>
          </w:p>
        </w:tc>
        <w:tc>
          <w:tcPr>
            <w:tcW w:w="780" w:type="dxa"/>
            <w:vAlign w:val="top"/>
          </w:tcPr>
          <w:p w14:paraId="41445E41">
            <w:pPr>
              <w:rPr>
                <w:rFonts w:ascii="Arial"/>
                <w:sz w:val="21"/>
              </w:rPr>
            </w:pPr>
          </w:p>
        </w:tc>
      </w:tr>
      <w:tr w14:paraId="410DD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48" w:type="dxa"/>
            <w:vAlign w:val="top"/>
          </w:tcPr>
          <w:p w14:paraId="66467F78">
            <w:pPr>
              <w:spacing w:before="180" w:line="197" w:lineRule="auto"/>
              <w:ind w:left="277"/>
              <w:rPr>
                <w:rFonts w:ascii="Arial" w:hAnsi="Arial" w:eastAsia="Arial" w:cs="Arial"/>
                <w:sz w:val="22"/>
                <w:szCs w:val="22"/>
              </w:rPr>
            </w:pPr>
            <w:r>
              <w:rPr>
                <w:rFonts w:ascii="Arial" w:hAnsi="Arial" w:eastAsia="Arial" w:cs="Arial"/>
                <w:spacing w:val="-4"/>
                <w:sz w:val="22"/>
                <w:szCs w:val="22"/>
              </w:rPr>
              <w:t>7.2</w:t>
            </w:r>
          </w:p>
        </w:tc>
        <w:tc>
          <w:tcPr>
            <w:tcW w:w="7511" w:type="dxa"/>
            <w:vAlign w:val="top"/>
          </w:tcPr>
          <w:p w14:paraId="6266C7FA">
            <w:pPr>
              <w:pStyle w:val="16"/>
              <w:spacing w:before="31" w:line="220" w:lineRule="auto"/>
              <w:ind w:left="8"/>
            </w:pPr>
            <w:r>
              <w:rPr>
                <w:spacing w:val="-3"/>
              </w:rPr>
              <w:t>订单管理</w:t>
            </w:r>
          </w:p>
        </w:tc>
        <w:tc>
          <w:tcPr>
            <w:tcW w:w="780" w:type="dxa"/>
            <w:vAlign w:val="top"/>
          </w:tcPr>
          <w:p w14:paraId="45659E76">
            <w:pPr>
              <w:rPr>
                <w:rFonts w:ascii="Arial"/>
                <w:sz w:val="21"/>
              </w:rPr>
            </w:pPr>
          </w:p>
        </w:tc>
      </w:tr>
      <w:tr w14:paraId="6F499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848" w:type="dxa"/>
            <w:vAlign w:val="top"/>
          </w:tcPr>
          <w:p w14:paraId="307DC392">
            <w:pPr>
              <w:spacing w:line="393" w:lineRule="auto"/>
              <w:rPr>
                <w:rFonts w:ascii="Arial"/>
                <w:sz w:val="21"/>
              </w:rPr>
            </w:pPr>
          </w:p>
          <w:p w14:paraId="5407088F">
            <w:pPr>
              <w:spacing w:before="63" w:line="197" w:lineRule="auto"/>
              <w:ind w:left="155"/>
              <w:rPr>
                <w:rFonts w:ascii="Arial" w:hAnsi="Arial" w:eastAsia="Arial" w:cs="Arial"/>
                <w:sz w:val="22"/>
                <w:szCs w:val="22"/>
              </w:rPr>
            </w:pPr>
            <w:r>
              <w:rPr>
                <w:rFonts w:ascii="Arial" w:hAnsi="Arial" w:eastAsia="Arial" w:cs="Arial"/>
                <w:spacing w:val="-2"/>
                <w:sz w:val="22"/>
                <w:szCs w:val="22"/>
              </w:rPr>
              <w:t>7.2.1.</w:t>
            </w:r>
          </w:p>
        </w:tc>
        <w:tc>
          <w:tcPr>
            <w:tcW w:w="7511" w:type="dxa"/>
            <w:vAlign w:val="top"/>
          </w:tcPr>
          <w:p w14:paraId="1E77E79A">
            <w:pPr>
              <w:pStyle w:val="16"/>
              <w:spacing w:before="33" w:line="233" w:lineRule="auto"/>
              <w:ind w:left="6" w:right="70"/>
              <w:jc w:val="both"/>
            </w:pPr>
            <w:r>
              <w:rPr>
                <w:spacing w:val="-2"/>
              </w:rPr>
              <w:t>通过智能化技术与多级协同机制，实现药品从仓库到临床终端的精准、安全、</w:t>
            </w:r>
            <w:r>
              <w:t>高效流转，构建全流程可控的医药配送体系。对接</w:t>
            </w:r>
            <w:r>
              <w:rPr>
                <w:spacing w:val="-1"/>
              </w:rPr>
              <w:t>医院</w:t>
            </w:r>
            <w:r>
              <w:rPr>
                <w:rFonts w:ascii="Arial" w:hAnsi="Arial" w:eastAsia="Arial" w:cs="Arial"/>
                <w:spacing w:val="-1"/>
              </w:rPr>
              <w:t>(</w:t>
            </w:r>
            <w:r>
              <w:rPr>
                <w:spacing w:val="-1"/>
              </w:rPr>
              <w:t>一级库</w:t>
            </w:r>
            <w:r>
              <w:rPr>
                <w:rFonts w:ascii="Arial" w:hAnsi="Arial" w:eastAsia="Arial" w:cs="Arial"/>
                <w:spacing w:val="-1"/>
              </w:rPr>
              <w:t>)</w:t>
            </w:r>
            <w:r>
              <w:rPr>
                <w:spacing w:val="-1"/>
              </w:rPr>
              <w:t>医院与中心药</w:t>
            </w:r>
            <w:r>
              <w:rPr>
                <w:spacing w:val="-11"/>
              </w:rPr>
              <w:t>房。</w:t>
            </w:r>
          </w:p>
        </w:tc>
        <w:tc>
          <w:tcPr>
            <w:tcW w:w="780" w:type="dxa"/>
            <w:vAlign w:val="top"/>
          </w:tcPr>
          <w:p w14:paraId="5EAAEEE3">
            <w:pPr>
              <w:rPr>
                <w:rFonts w:ascii="Arial"/>
                <w:sz w:val="21"/>
              </w:rPr>
            </w:pPr>
          </w:p>
        </w:tc>
      </w:tr>
      <w:tr w14:paraId="16BEA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848" w:type="dxa"/>
            <w:vAlign w:val="top"/>
          </w:tcPr>
          <w:p w14:paraId="463157A8">
            <w:pPr>
              <w:spacing w:before="278" w:line="197" w:lineRule="auto"/>
              <w:ind w:left="155"/>
              <w:rPr>
                <w:rFonts w:ascii="Arial" w:hAnsi="Arial" w:eastAsia="Arial" w:cs="Arial"/>
                <w:sz w:val="22"/>
                <w:szCs w:val="22"/>
              </w:rPr>
            </w:pPr>
            <w:r>
              <w:rPr>
                <w:rFonts w:ascii="Arial" w:hAnsi="Arial" w:eastAsia="Arial" w:cs="Arial"/>
                <w:spacing w:val="-2"/>
                <w:sz w:val="22"/>
                <w:szCs w:val="22"/>
              </w:rPr>
              <w:t>7.2.2.</w:t>
            </w:r>
          </w:p>
        </w:tc>
        <w:tc>
          <w:tcPr>
            <w:tcW w:w="7511" w:type="dxa"/>
            <w:vAlign w:val="top"/>
          </w:tcPr>
          <w:p w14:paraId="5A0D35E3">
            <w:pPr>
              <w:pStyle w:val="16"/>
              <w:spacing w:line="244" w:lineRule="auto"/>
              <w:ind w:left="6" w:right="209" w:firstLine="4"/>
            </w:pPr>
            <w:r>
              <w:rPr>
                <w:rFonts w:ascii="Arial" w:hAnsi="Arial" w:eastAsia="Arial" w:cs="Arial"/>
                <w:spacing w:val="-1"/>
              </w:rPr>
              <w:t>(</w:t>
            </w:r>
            <w:r>
              <w:rPr>
                <w:spacing w:val="-1"/>
              </w:rPr>
              <w:t>二级库</w:t>
            </w:r>
            <w:r>
              <w:rPr>
                <w:rFonts w:ascii="Arial" w:hAnsi="Arial" w:eastAsia="Arial" w:cs="Arial"/>
                <w:spacing w:val="-1"/>
              </w:rPr>
              <w:t>)</w:t>
            </w:r>
            <w:r>
              <w:rPr>
                <w:spacing w:val="-1"/>
              </w:rPr>
              <w:t>物流系统，实时展示区域整体</w:t>
            </w:r>
            <w:r>
              <w:rPr>
                <w:rFonts w:ascii="Arial" w:hAnsi="Arial" w:eastAsia="Arial" w:cs="Arial"/>
                <w:spacing w:val="-1"/>
              </w:rPr>
              <w:t>(</w:t>
            </w:r>
            <w:r>
              <w:rPr>
                <w:spacing w:val="-1"/>
              </w:rPr>
              <w:t>区域整体</w:t>
            </w:r>
            <w:r>
              <w:rPr>
                <w:spacing w:val="-2"/>
              </w:rPr>
              <w:t>库</w:t>
            </w:r>
            <w:r>
              <w:rPr>
                <w:rFonts w:ascii="Arial" w:hAnsi="Arial" w:eastAsia="Arial" w:cs="Arial"/>
                <w:spacing w:val="-2"/>
              </w:rPr>
              <w:t>)</w:t>
            </w:r>
            <w:r>
              <w:rPr>
                <w:spacing w:val="-2"/>
              </w:rPr>
              <w:t>药品配送进程相关信息。包含配送阶段配送方式、预计时间、线路、验收等。</w:t>
            </w:r>
          </w:p>
        </w:tc>
        <w:tc>
          <w:tcPr>
            <w:tcW w:w="780" w:type="dxa"/>
            <w:vAlign w:val="top"/>
          </w:tcPr>
          <w:p w14:paraId="4BF1244F">
            <w:pPr>
              <w:rPr>
                <w:rFonts w:ascii="Arial"/>
                <w:sz w:val="21"/>
              </w:rPr>
            </w:pPr>
          </w:p>
        </w:tc>
      </w:tr>
      <w:tr w14:paraId="7681D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848" w:type="dxa"/>
            <w:vAlign w:val="top"/>
          </w:tcPr>
          <w:p w14:paraId="076D76E8">
            <w:pPr>
              <w:spacing w:line="244" w:lineRule="auto"/>
              <w:rPr>
                <w:rFonts w:ascii="Arial"/>
                <w:sz w:val="21"/>
              </w:rPr>
            </w:pPr>
          </w:p>
          <w:p w14:paraId="2E1518CD">
            <w:pPr>
              <w:pStyle w:val="16"/>
              <w:spacing w:before="72" w:line="221" w:lineRule="auto"/>
              <w:ind w:left="322"/>
            </w:pPr>
            <w:r>
              <w:rPr>
                <w:b/>
                <w:bCs/>
                <w:spacing w:val="-3"/>
              </w:rPr>
              <w:t>八</w:t>
            </w:r>
          </w:p>
        </w:tc>
        <w:tc>
          <w:tcPr>
            <w:tcW w:w="7511" w:type="dxa"/>
            <w:vAlign w:val="top"/>
          </w:tcPr>
          <w:p w14:paraId="6CDF0231">
            <w:pPr>
              <w:pStyle w:val="16"/>
              <w:spacing w:before="34" w:line="221" w:lineRule="auto"/>
              <w:ind w:left="7"/>
            </w:pPr>
            <w:r>
              <w:rPr>
                <w:b/>
                <w:bCs/>
                <w:spacing w:val="-4"/>
              </w:rPr>
              <w:t>余缺调度</w:t>
            </w:r>
          </w:p>
          <w:p w14:paraId="7B963702">
            <w:pPr>
              <w:pStyle w:val="16"/>
              <w:spacing w:before="18" w:line="222" w:lineRule="auto"/>
              <w:ind w:left="6" w:right="37" w:firstLine="19"/>
            </w:pPr>
            <w:r>
              <w:rPr>
                <w:spacing w:val="-1"/>
              </w:rPr>
              <w:t>中心（云）药房通过智能化算法动态平衡区域内医院间的药品库</w:t>
            </w:r>
            <w:r>
              <w:rPr>
                <w:spacing w:val="-2"/>
              </w:rPr>
              <w:t>存，解决局部过剩与短缺问题，实现资源高效利用与精准供给。</w:t>
            </w:r>
          </w:p>
        </w:tc>
        <w:tc>
          <w:tcPr>
            <w:tcW w:w="780" w:type="dxa"/>
            <w:vAlign w:val="top"/>
          </w:tcPr>
          <w:p w14:paraId="022B2060">
            <w:pPr>
              <w:rPr>
                <w:rFonts w:ascii="Arial"/>
                <w:sz w:val="21"/>
              </w:rPr>
            </w:pPr>
          </w:p>
        </w:tc>
      </w:tr>
      <w:tr w14:paraId="4FA64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848" w:type="dxa"/>
            <w:vAlign w:val="top"/>
          </w:tcPr>
          <w:p w14:paraId="56DEBFD4">
            <w:pPr>
              <w:spacing w:line="356" w:lineRule="auto"/>
              <w:rPr>
                <w:rFonts w:ascii="Arial"/>
                <w:sz w:val="21"/>
              </w:rPr>
            </w:pPr>
          </w:p>
          <w:p w14:paraId="097F0DAD">
            <w:pPr>
              <w:spacing w:before="63" w:line="301" w:lineRule="exact"/>
              <w:ind w:left="244"/>
              <w:rPr>
                <w:rFonts w:ascii="Arial" w:hAnsi="Arial" w:eastAsia="Arial" w:cs="Arial"/>
                <w:sz w:val="22"/>
                <w:szCs w:val="22"/>
              </w:rPr>
            </w:pPr>
            <w:r>
              <w:rPr>
                <w:rFonts w:ascii="Arial" w:hAnsi="Arial" w:eastAsia="Arial" w:cs="Arial"/>
                <w:spacing w:val="-2"/>
                <w:position w:val="1"/>
                <w:sz w:val="22"/>
                <w:szCs w:val="22"/>
              </w:rPr>
              <w:t>8.1.</w:t>
            </w:r>
          </w:p>
        </w:tc>
        <w:tc>
          <w:tcPr>
            <w:tcW w:w="7511" w:type="dxa"/>
            <w:vAlign w:val="top"/>
          </w:tcPr>
          <w:p w14:paraId="5A767105">
            <w:pPr>
              <w:pStyle w:val="16"/>
              <w:spacing w:line="237" w:lineRule="auto"/>
              <w:ind w:left="5" w:right="28" w:firstLine="6"/>
            </w:pPr>
            <w:r>
              <w:rPr>
                <w:spacing w:val="2"/>
              </w:rPr>
              <w:t>实时库存监控与需求预测：系统整合多级库</w:t>
            </w:r>
            <w:r>
              <w:rPr>
                <w:rFonts w:ascii="Arial" w:hAnsi="Arial" w:eastAsia="Arial" w:cs="Arial"/>
                <w:spacing w:val="2"/>
              </w:rPr>
              <w:t>(</w:t>
            </w:r>
            <w:r>
              <w:rPr>
                <w:spacing w:val="2"/>
              </w:rPr>
              <w:t>一级实体库、</w:t>
            </w:r>
            <w:r>
              <w:rPr>
                <w:spacing w:val="1"/>
              </w:rPr>
              <w:t>中心药房虚拟库(</w:t>
            </w:r>
            <w:r>
              <w:rPr>
                <w:spacing w:val="-1"/>
              </w:rPr>
              <w:t>二级库）</w:t>
            </w:r>
            <w:r>
              <w:rPr>
                <w:rFonts w:ascii="Arial" w:hAnsi="Arial" w:eastAsia="Arial" w:cs="Arial"/>
                <w:spacing w:val="-1"/>
              </w:rPr>
              <w:t>)</w:t>
            </w:r>
            <w:r>
              <w:rPr>
                <w:spacing w:val="-1"/>
              </w:rPr>
              <w:t>的实时库存数据，结合历史消耗、季节性疾病趋势及临床用药动态</w:t>
            </w:r>
            <w:r>
              <w:rPr>
                <w:spacing w:val="8"/>
              </w:rPr>
              <w:t xml:space="preserve">  </w:t>
            </w:r>
            <w:r>
              <w:rPr>
                <w:spacing w:val="3"/>
              </w:rPr>
              <w:t>,通过预测模型预测各机构的药品需求量与短缺风险，自动标记</w:t>
            </w:r>
            <w:r>
              <w:rPr>
                <w:rFonts w:ascii="Arial" w:hAnsi="Arial" w:eastAsia="Arial" w:cs="Arial"/>
                <w:spacing w:val="3"/>
              </w:rPr>
              <w:t>“</w:t>
            </w:r>
            <w:r>
              <w:rPr>
                <w:spacing w:val="2"/>
              </w:rPr>
              <w:t>过剩</w:t>
            </w:r>
            <w:r>
              <w:rPr>
                <w:rFonts w:ascii="Arial" w:hAnsi="Arial" w:eastAsia="Arial" w:cs="Arial"/>
                <w:spacing w:val="2"/>
              </w:rPr>
              <w:t>”</w:t>
            </w:r>
            <w:r>
              <w:rPr>
                <w:spacing w:val="2"/>
              </w:rPr>
              <w:t>或</w:t>
            </w:r>
            <w:r>
              <w:rPr>
                <w:rFonts w:ascii="Arial" w:hAnsi="Arial" w:eastAsia="Arial" w:cs="Arial"/>
                <w:spacing w:val="2"/>
              </w:rPr>
              <w:t>“</w:t>
            </w:r>
            <w:r>
              <w:rPr>
                <w:spacing w:val="2"/>
              </w:rPr>
              <w:t>缺口</w:t>
            </w:r>
            <w:r>
              <w:t xml:space="preserve"> </w:t>
            </w:r>
            <w:r>
              <w:rPr>
                <w:rFonts w:ascii="Arial" w:hAnsi="Arial" w:eastAsia="Arial" w:cs="Arial"/>
                <w:spacing w:val="-2"/>
              </w:rPr>
              <w:t>”</w:t>
            </w:r>
            <w:r>
              <w:rPr>
                <w:spacing w:val="-2"/>
              </w:rPr>
              <w:t>状态。</w:t>
            </w:r>
          </w:p>
        </w:tc>
        <w:tc>
          <w:tcPr>
            <w:tcW w:w="780" w:type="dxa"/>
            <w:vAlign w:val="top"/>
          </w:tcPr>
          <w:p w14:paraId="4ECA1106">
            <w:pPr>
              <w:rPr>
                <w:rFonts w:ascii="Arial"/>
                <w:sz w:val="21"/>
              </w:rPr>
            </w:pPr>
          </w:p>
        </w:tc>
      </w:tr>
      <w:tr w14:paraId="5300C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48" w:type="dxa"/>
            <w:vAlign w:val="top"/>
          </w:tcPr>
          <w:p w14:paraId="2CD0963D">
            <w:pPr>
              <w:spacing w:before="114" w:line="301" w:lineRule="exact"/>
              <w:ind w:left="276"/>
              <w:rPr>
                <w:rFonts w:ascii="Arial" w:hAnsi="Arial" w:eastAsia="Arial" w:cs="Arial"/>
                <w:sz w:val="22"/>
                <w:szCs w:val="22"/>
              </w:rPr>
            </w:pPr>
            <w:r>
              <w:rPr>
                <w:rFonts w:ascii="Arial" w:hAnsi="Arial" w:eastAsia="Arial" w:cs="Arial"/>
                <w:spacing w:val="-3"/>
                <w:position w:val="1"/>
                <w:sz w:val="22"/>
                <w:szCs w:val="22"/>
              </w:rPr>
              <w:t>8.2</w:t>
            </w:r>
          </w:p>
        </w:tc>
        <w:tc>
          <w:tcPr>
            <w:tcW w:w="7511" w:type="dxa"/>
            <w:vAlign w:val="top"/>
          </w:tcPr>
          <w:p w14:paraId="24F48330">
            <w:pPr>
              <w:pStyle w:val="16"/>
              <w:spacing w:before="33" w:line="220" w:lineRule="auto"/>
              <w:ind w:left="11"/>
            </w:pPr>
            <w:r>
              <w:rPr>
                <w:spacing w:val="-2"/>
              </w:rPr>
              <w:t>智能匹配与调拨策略</w:t>
            </w:r>
          </w:p>
        </w:tc>
        <w:tc>
          <w:tcPr>
            <w:tcW w:w="780" w:type="dxa"/>
            <w:vAlign w:val="top"/>
          </w:tcPr>
          <w:p w14:paraId="28FD8C91">
            <w:pPr>
              <w:spacing w:before="52" w:line="191" w:lineRule="auto"/>
              <w:ind w:left="311"/>
              <w:rPr>
                <w:rFonts w:hint="eastAsia" w:ascii="Arial" w:hAnsi="Arial" w:eastAsia="宋体" w:cs="Arial"/>
                <w:sz w:val="22"/>
                <w:szCs w:val="22"/>
                <w:lang w:eastAsia="zh-CN"/>
              </w:rPr>
            </w:pPr>
          </w:p>
        </w:tc>
      </w:tr>
    </w:tbl>
    <w:p w14:paraId="68E4DFFB">
      <w:pPr>
        <w:rPr>
          <w:rFonts w:ascii="Arial"/>
          <w:sz w:val="21"/>
        </w:rPr>
      </w:pPr>
    </w:p>
    <w:p w14:paraId="70B33A05">
      <w:pPr>
        <w:rPr>
          <w:rFonts w:ascii="Arial" w:hAnsi="Arial" w:eastAsia="Arial" w:cs="Arial"/>
          <w:sz w:val="21"/>
          <w:szCs w:val="21"/>
        </w:rPr>
        <w:sectPr>
          <w:pgSz w:w="11907" w:h="16839"/>
          <w:pgMar w:top="1431" w:right="1386" w:bottom="0" w:left="1376" w:header="0" w:footer="0" w:gutter="0"/>
          <w:pgBorders>
            <w:top w:val="none" w:sz="0" w:space="0"/>
            <w:left w:val="none" w:sz="0" w:space="0"/>
            <w:bottom w:val="none" w:sz="0" w:space="0"/>
            <w:right w:val="none" w:sz="0" w:space="0"/>
          </w:pgBorders>
          <w:cols w:space="720" w:num="1"/>
        </w:sectPr>
      </w:pPr>
    </w:p>
    <w:p w14:paraId="1CDEFE97">
      <w:pPr>
        <w:spacing w:line="94" w:lineRule="auto"/>
        <w:rPr>
          <w:rFonts w:ascii="Arial"/>
          <w:sz w:val="2"/>
        </w:rPr>
      </w:pPr>
    </w:p>
    <w:tbl>
      <w:tblPr>
        <w:tblStyle w:val="17"/>
        <w:tblW w:w="91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8"/>
        <w:gridCol w:w="7511"/>
        <w:gridCol w:w="780"/>
      </w:tblGrid>
      <w:tr w14:paraId="347F9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848" w:type="dxa"/>
            <w:vAlign w:val="top"/>
          </w:tcPr>
          <w:p w14:paraId="735F673A">
            <w:pPr>
              <w:spacing w:line="325" w:lineRule="auto"/>
              <w:rPr>
                <w:rFonts w:ascii="Arial"/>
                <w:sz w:val="21"/>
              </w:rPr>
            </w:pPr>
          </w:p>
          <w:p w14:paraId="73865E72">
            <w:pPr>
              <w:spacing w:before="63" w:line="300" w:lineRule="exact"/>
              <w:ind w:left="184"/>
              <w:rPr>
                <w:rFonts w:ascii="Arial" w:hAnsi="Arial" w:eastAsia="Arial" w:cs="Arial"/>
                <w:sz w:val="22"/>
                <w:szCs w:val="22"/>
              </w:rPr>
            </w:pPr>
            <w:r>
              <w:rPr>
                <w:rFonts w:ascii="Arial" w:hAnsi="Arial" w:eastAsia="Arial" w:cs="Arial"/>
                <w:spacing w:val="-2"/>
                <w:position w:val="1"/>
                <w:sz w:val="22"/>
                <w:szCs w:val="22"/>
              </w:rPr>
              <w:t>8.2.1</w:t>
            </w:r>
          </w:p>
        </w:tc>
        <w:tc>
          <w:tcPr>
            <w:tcW w:w="7511" w:type="dxa"/>
            <w:vAlign w:val="top"/>
          </w:tcPr>
          <w:p w14:paraId="42691525">
            <w:pPr>
              <w:pStyle w:val="16"/>
              <w:spacing w:before="30" w:line="237" w:lineRule="auto"/>
              <w:ind w:left="19" w:right="37" w:hanging="13"/>
            </w:pPr>
            <w:r>
              <w:rPr>
                <w:spacing w:val="-1"/>
              </w:rPr>
              <w:t>过剩调度：对近效期、滞销或库存超标的药品，优先匹配区域内存在缺口的医院，生成调拨建议</w:t>
            </w:r>
            <w:r>
              <w:rPr>
                <w:rFonts w:ascii="Arial" w:hAnsi="Arial" w:eastAsia="Arial" w:cs="Arial"/>
                <w:spacing w:val="-1"/>
              </w:rPr>
              <w:t>(</w:t>
            </w:r>
            <w:r>
              <w:rPr>
                <w:spacing w:val="-1"/>
              </w:rPr>
              <w:t>调出方、调入方、批次效期、数量</w:t>
            </w:r>
            <w:r>
              <w:rPr>
                <w:rFonts w:ascii="Arial" w:hAnsi="Arial" w:eastAsia="Arial" w:cs="Arial"/>
                <w:spacing w:val="-1"/>
              </w:rPr>
              <w:t>)</w:t>
            </w:r>
            <w:r>
              <w:rPr>
                <w:spacing w:val="-1"/>
              </w:rPr>
              <w:t>。</w:t>
            </w:r>
          </w:p>
        </w:tc>
        <w:tc>
          <w:tcPr>
            <w:tcW w:w="780" w:type="dxa"/>
            <w:vAlign w:val="top"/>
          </w:tcPr>
          <w:p w14:paraId="54C1A0BD">
            <w:pPr>
              <w:rPr>
                <w:rFonts w:ascii="Arial"/>
                <w:sz w:val="21"/>
              </w:rPr>
            </w:pPr>
          </w:p>
        </w:tc>
      </w:tr>
      <w:tr w14:paraId="6536F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0" w:hRule="atLeast"/>
        </w:trPr>
        <w:tc>
          <w:tcPr>
            <w:tcW w:w="848" w:type="dxa"/>
            <w:vAlign w:val="top"/>
          </w:tcPr>
          <w:p w14:paraId="7CFBBB7E">
            <w:pPr>
              <w:spacing w:line="321" w:lineRule="auto"/>
              <w:rPr>
                <w:rFonts w:ascii="Arial"/>
                <w:sz w:val="21"/>
              </w:rPr>
            </w:pPr>
          </w:p>
          <w:p w14:paraId="1843BDFB">
            <w:pPr>
              <w:spacing w:before="64" w:line="300" w:lineRule="exact"/>
              <w:ind w:left="184"/>
              <w:rPr>
                <w:rFonts w:ascii="Arial" w:hAnsi="Arial" w:eastAsia="Arial" w:cs="Arial"/>
                <w:sz w:val="22"/>
                <w:szCs w:val="22"/>
              </w:rPr>
            </w:pPr>
            <w:r>
              <w:rPr>
                <w:rFonts w:ascii="Arial" w:hAnsi="Arial" w:eastAsia="Arial" w:cs="Arial"/>
                <w:spacing w:val="-2"/>
                <w:position w:val="1"/>
                <w:sz w:val="22"/>
                <w:szCs w:val="22"/>
              </w:rPr>
              <w:t>8.2.2</w:t>
            </w:r>
          </w:p>
        </w:tc>
        <w:tc>
          <w:tcPr>
            <w:tcW w:w="7511" w:type="dxa"/>
            <w:vAlign w:val="top"/>
          </w:tcPr>
          <w:p w14:paraId="67A9BF3C">
            <w:pPr>
              <w:pStyle w:val="16"/>
              <w:spacing w:before="1" w:line="248" w:lineRule="auto"/>
              <w:ind w:left="6" w:right="175" w:firstLine="1"/>
            </w:pPr>
            <w:r>
              <w:t>短缺响应：当某机构库存低于安全阈值时，系统</w:t>
            </w:r>
            <w:r>
              <w:rPr>
                <w:spacing w:val="-1"/>
              </w:rPr>
              <w:t>自动检索二级库</w:t>
            </w:r>
            <w:r>
              <w:rPr>
                <w:rFonts w:ascii="Arial" w:hAnsi="Arial" w:eastAsia="Arial" w:cs="Arial"/>
                <w:spacing w:val="-1"/>
              </w:rPr>
              <w:t>(</w:t>
            </w:r>
            <w:r>
              <w:rPr>
                <w:spacing w:val="-1"/>
              </w:rPr>
              <w:t>供应商虚拟库存</w:t>
            </w:r>
            <w:r>
              <w:rPr>
                <w:rFonts w:ascii="Arial" w:hAnsi="Arial" w:eastAsia="Arial" w:cs="Arial"/>
                <w:spacing w:val="-1"/>
              </w:rPr>
              <w:t>)</w:t>
            </w:r>
            <w:r>
              <w:rPr>
                <w:spacing w:val="-1"/>
              </w:rPr>
              <w:t>或邻近机构可用库存，启动</w:t>
            </w:r>
            <w:r>
              <w:rPr>
                <w:rFonts w:ascii="Arial" w:hAnsi="Arial" w:eastAsia="Arial" w:cs="Arial"/>
                <w:spacing w:val="-1"/>
              </w:rPr>
              <w:t>“</w:t>
            </w:r>
            <w:r>
              <w:rPr>
                <w:spacing w:val="-1"/>
              </w:rPr>
              <w:t>直配补货</w:t>
            </w:r>
            <w:r>
              <w:rPr>
                <w:rFonts w:ascii="Arial" w:hAnsi="Arial" w:eastAsia="Arial" w:cs="Arial"/>
                <w:spacing w:val="-1"/>
              </w:rPr>
              <w:t>”</w:t>
            </w:r>
            <w:r>
              <w:rPr>
                <w:spacing w:val="-1"/>
              </w:rPr>
              <w:t>或</w:t>
            </w:r>
            <w:r>
              <w:rPr>
                <w:rFonts w:ascii="Arial" w:hAnsi="Arial" w:eastAsia="Arial" w:cs="Arial"/>
                <w:spacing w:val="-1"/>
              </w:rPr>
              <w:t>“</w:t>
            </w:r>
            <w:r>
              <w:rPr>
                <w:spacing w:val="-1"/>
              </w:rPr>
              <w:t>跨院调拨</w:t>
            </w:r>
            <w:r>
              <w:rPr>
                <w:rFonts w:ascii="Arial" w:hAnsi="Arial" w:eastAsia="Arial" w:cs="Arial"/>
                <w:spacing w:val="-1"/>
              </w:rPr>
              <w:t>”</w:t>
            </w:r>
            <w:r>
              <w:rPr>
                <w:spacing w:val="-1"/>
              </w:rPr>
              <w:t>模式，避免断供。</w:t>
            </w:r>
          </w:p>
        </w:tc>
        <w:tc>
          <w:tcPr>
            <w:tcW w:w="780" w:type="dxa"/>
            <w:vAlign w:val="top"/>
          </w:tcPr>
          <w:p w14:paraId="71499D82">
            <w:pPr>
              <w:rPr>
                <w:rFonts w:ascii="Arial"/>
                <w:sz w:val="21"/>
              </w:rPr>
            </w:pPr>
          </w:p>
        </w:tc>
      </w:tr>
      <w:tr w14:paraId="5E341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848" w:type="dxa"/>
            <w:vAlign w:val="top"/>
          </w:tcPr>
          <w:p w14:paraId="7AD15553">
            <w:pPr>
              <w:spacing w:line="241" w:lineRule="auto"/>
              <w:rPr>
                <w:rFonts w:ascii="Arial"/>
                <w:sz w:val="21"/>
              </w:rPr>
            </w:pPr>
          </w:p>
          <w:p w14:paraId="6177BC93">
            <w:pPr>
              <w:pStyle w:val="16"/>
              <w:spacing w:before="71" w:line="223" w:lineRule="auto"/>
              <w:ind w:left="324"/>
            </w:pPr>
            <w:r>
              <w:rPr>
                <w:b/>
                <w:bCs/>
                <w:spacing w:val="-3"/>
              </w:rPr>
              <w:t>九</w:t>
            </w:r>
          </w:p>
        </w:tc>
        <w:tc>
          <w:tcPr>
            <w:tcW w:w="7511" w:type="dxa"/>
            <w:vAlign w:val="top"/>
          </w:tcPr>
          <w:p w14:paraId="6D26129B">
            <w:pPr>
              <w:pStyle w:val="16"/>
              <w:spacing w:before="31" w:line="220" w:lineRule="auto"/>
              <w:ind w:left="5"/>
            </w:pPr>
            <w:r>
              <w:rPr>
                <w:b/>
                <w:bCs/>
                <w:spacing w:val="-3"/>
              </w:rPr>
              <w:t>近效期管理</w:t>
            </w:r>
          </w:p>
          <w:p w14:paraId="705266C6">
            <w:pPr>
              <w:pStyle w:val="16"/>
              <w:spacing w:before="23" w:line="222" w:lineRule="auto"/>
              <w:ind w:left="9" w:right="37" w:firstLine="17"/>
            </w:pPr>
            <w:r>
              <w:rPr>
                <w:spacing w:val="-1"/>
              </w:rPr>
              <w:t>中心（云）药房通过智能化动态处理机制，有效管控临近效期药</w:t>
            </w:r>
            <w:r>
              <w:rPr>
                <w:spacing w:val="-2"/>
              </w:rPr>
              <w:t>品，减少资源</w:t>
            </w:r>
            <w:r>
              <w:rPr>
                <w:spacing w:val="-3"/>
              </w:rPr>
              <w:t>浪费并保障用药安全。</w:t>
            </w:r>
          </w:p>
        </w:tc>
        <w:tc>
          <w:tcPr>
            <w:tcW w:w="780" w:type="dxa"/>
            <w:vAlign w:val="top"/>
          </w:tcPr>
          <w:p w14:paraId="51069090">
            <w:pPr>
              <w:rPr>
                <w:rFonts w:ascii="Arial"/>
                <w:sz w:val="21"/>
              </w:rPr>
            </w:pPr>
          </w:p>
        </w:tc>
      </w:tr>
      <w:tr w14:paraId="495C9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48" w:type="dxa"/>
            <w:vAlign w:val="top"/>
          </w:tcPr>
          <w:p w14:paraId="39F381EA">
            <w:pPr>
              <w:spacing w:before="109" w:line="300" w:lineRule="exact"/>
              <w:ind w:left="276"/>
              <w:rPr>
                <w:rFonts w:ascii="Arial" w:hAnsi="Arial" w:eastAsia="Arial" w:cs="Arial"/>
                <w:sz w:val="22"/>
                <w:szCs w:val="22"/>
              </w:rPr>
            </w:pPr>
            <w:r>
              <w:rPr>
                <w:rFonts w:ascii="Arial" w:hAnsi="Arial" w:eastAsia="Arial" w:cs="Arial"/>
                <w:spacing w:val="-3"/>
                <w:position w:val="1"/>
                <w:sz w:val="22"/>
                <w:szCs w:val="22"/>
              </w:rPr>
              <w:t>9.1</w:t>
            </w:r>
          </w:p>
        </w:tc>
        <w:tc>
          <w:tcPr>
            <w:tcW w:w="7511" w:type="dxa"/>
            <w:vAlign w:val="top"/>
          </w:tcPr>
          <w:p w14:paraId="07CE3266">
            <w:pPr>
              <w:pStyle w:val="16"/>
              <w:spacing w:before="28" w:line="220" w:lineRule="auto"/>
              <w:ind w:left="11"/>
            </w:pPr>
            <w:r>
              <w:rPr>
                <w:spacing w:val="-2"/>
              </w:rPr>
              <w:t>智能预警与优先级分类</w:t>
            </w:r>
          </w:p>
        </w:tc>
        <w:tc>
          <w:tcPr>
            <w:tcW w:w="780" w:type="dxa"/>
            <w:vAlign w:val="top"/>
          </w:tcPr>
          <w:p w14:paraId="341E81AF">
            <w:pPr>
              <w:rPr>
                <w:rFonts w:ascii="Arial"/>
                <w:sz w:val="21"/>
              </w:rPr>
            </w:pPr>
          </w:p>
        </w:tc>
      </w:tr>
      <w:tr w14:paraId="14216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848" w:type="dxa"/>
            <w:vAlign w:val="top"/>
          </w:tcPr>
          <w:p w14:paraId="1D82289B">
            <w:pPr>
              <w:spacing w:line="353" w:lineRule="auto"/>
              <w:rPr>
                <w:rFonts w:ascii="Arial"/>
                <w:sz w:val="21"/>
              </w:rPr>
            </w:pPr>
          </w:p>
          <w:p w14:paraId="6DA4F23F">
            <w:pPr>
              <w:spacing w:before="63" w:line="301" w:lineRule="exact"/>
              <w:ind w:left="185"/>
              <w:rPr>
                <w:rFonts w:ascii="Arial" w:hAnsi="Arial" w:eastAsia="Arial" w:cs="Arial"/>
                <w:sz w:val="22"/>
                <w:szCs w:val="22"/>
              </w:rPr>
            </w:pPr>
            <w:r>
              <w:rPr>
                <w:rFonts w:ascii="Arial" w:hAnsi="Arial" w:eastAsia="Arial" w:cs="Arial"/>
                <w:spacing w:val="-2"/>
                <w:position w:val="1"/>
                <w:sz w:val="22"/>
                <w:szCs w:val="22"/>
              </w:rPr>
              <w:t>9.1.1</w:t>
            </w:r>
          </w:p>
        </w:tc>
        <w:tc>
          <w:tcPr>
            <w:tcW w:w="7511" w:type="dxa"/>
            <w:vAlign w:val="top"/>
          </w:tcPr>
          <w:p w14:paraId="06A25452">
            <w:pPr>
              <w:pStyle w:val="16"/>
              <w:spacing w:line="237" w:lineRule="auto"/>
              <w:ind w:left="4" w:right="31" w:firstLine="6"/>
              <w:jc w:val="both"/>
            </w:pPr>
            <w:r>
              <w:rPr>
                <w:spacing w:val="-2"/>
              </w:rPr>
              <w:t>系统实时监控多级库存药品效期，根据预设阈值（</w:t>
            </w:r>
            <w:r>
              <w:rPr>
                <w:rFonts w:ascii="Arial" w:hAnsi="Arial" w:eastAsia="Arial" w:cs="Arial"/>
                <w:spacing w:val="-2"/>
              </w:rPr>
              <w:t>6</w:t>
            </w:r>
            <w:r>
              <w:rPr>
                <w:spacing w:val="-2"/>
              </w:rPr>
              <w:t>个月、</w:t>
            </w:r>
            <w:r>
              <w:rPr>
                <w:rFonts w:ascii="Arial" w:hAnsi="Arial" w:eastAsia="Arial" w:cs="Arial"/>
                <w:spacing w:val="-2"/>
              </w:rPr>
              <w:t>3</w:t>
            </w:r>
            <w:r>
              <w:rPr>
                <w:spacing w:val="-2"/>
              </w:rPr>
              <w:t>个月、</w:t>
            </w:r>
            <w:r>
              <w:rPr>
                <w:rFonts w:ascii="Arial" w:hAnsi="Arial" w:eastAsia="Arial" w:cs="Arial"/>
                <w:spacing w:val="-2"/>
              </w:rPr>
              <w:t>1</w:t>
            </w:r>
            <w:r>
              <w:rPr>
                <w:spacing w:val="-2"/>
              </w:rPr>
              <w:t>个月）自</w:t>
            </w:r>
            <w:r>
              <w:t>动触发分级预警</w:t>
            </w:r>
            <w:r>
              <w:rPr>
                <w:rFonts w:ascii="Arial" w:hAnsi="Arial" w:eastAsia="Arial" w:cs="Arial"/>
              </w:rPr>
              <w:t>(</w:t>
            </w:r>
            <w:r>
              <w:t>黄</w:t>
            </w:r>
            <w:r>
              <w:rPr>
                <w:rFonts w:ascii="Arial" w:hAnsi="Arial" w:eastAsia="Arial" w:cs="Arial"/>
              </w:rPr>
              <w:t>/</w:t>
            </w:r>
            <w:r>
              <w:t>橙</w:t>
            </w:r>
            <w:r>
              <w:rPr>
                <w:rFonts w:ascii="Arial" w:hAnsi="Arial" w:eastAsia="Arial" w:cs="Arial"/>
              </w:rPr>
              <w:t>/</w:t>
            </w:r>
            <w:r>
              <w:t>红三级</w:t>
            </w:r>
            <w:r>
              <w:rPr>
                <w:rFonts w:ascii="Arial" w:hAnsi="Arial" w:eastAsia="Arial" w:cs="Arial"/>
              </w:rPr>
              <w:t>),</w:t>
            </w:r>
            <w:r>
              <w:t>并按药品品类</w:t>
            </w:r>
            <w:r>
              <w:rPr>
                <w:spacing w:val="-1"/>
              </w:rPr>
              <w:t>、库存量、历史消耗速度生成处置优先级列表。预测各机构未来消耗能力，标记</w:t>
            </w:r>
            <w:r>
              <w:rPr>
                <w:rFonts w:ascii="Arial" w:hAnsi="Arial" w:eastAsia="Arial" w:cs="Arial"/>
                <w:spacing w:val="-1"/>
              </w:rPr>
              <w:t>“</w:t>
            </w:r>
            <w:r>
              <w:rPr>
                <w:spacing w:val="-1"/>
              </w:rPr>
              <w:t>可内部消化</w:t>
            </w:r>
            <w:r>
              <w:rPr>
                <w:rFonts w:ascii="Arial" w:hAnsi="Arial" w:eastAsia="Arial" w:cs="Arial"/>
                <w:spacing w:val="-1"/>
              </w:rPr>
              <w:t>”</w:t>
            </w:r>
            <w:r>
              <w:rPr>
                <w:spacing w:val="-1"/>
              </w:rPr>
              <w:t>或</w:t>
            </w:r>
            <w:r>
              <w:rPr>
                <w:rFonts w:ascii="Arial" w:hAnsi="Arial" w:eastAsia="Arial" w:cs="Arial"/>
                <w:spacing w:val="-1"/>
              </w:rPr>
              <w:t>“</w:t>
            </w:r>
            <w:r>
              <w:rPr>
                <w:rFonts w:ascii="Arial" w:hAnsi="Arial" w:eastAsia="Arial" w:cs="Arial"/>
                <w:spacing w:val="-37"/>
              </w:rPr>
              <w:t xml:space="preserve"> </w:t>
            </w:r>
            <w:r>
              <w:rPr>
                <w:spacing w:val="-1"/>
              </w:rPr>
              <w:t>需跨机构调度</w:t>
            </w:r>
            <w:r>
              <w:t xml:space="preserve"> </w:t>
            </w:r>
            <w:r>
              <w:rPr>
                <w:rFonts w:ascii="Arial" w:hAnsi="Arial" w:eastAsia="Arial" w:cs="Arial"/>
                <w:spacing w:val="-2"/>
              </w:rPr>
              <w:t>”</w:t>
            </w:r>
            <w:r>
              <w:rPr>
                <w:spacing w:val="-2"/>
              </w:rPr>
              <w:t>的药品批次。</w:t>
            </w:r>
          </w:p>
        </w:tc>
        <w:tc>
          <w:tcPr>
            <w:tcW w:w="780" w:type="dxa"/>
            <w:vAlign w:val="top"/>
          </w:tcPr>
          <w:p w14:paraId="311420DD">
            <w:pPr>
              <w:spacing w:line="427" w:lineRule="auto"/>
              <w:rPr>
                <w:rFonts w:ascii="Arial"/>
                <w:sz w:val="21"/>
              </w:rPr>
            </w:pPr>
          </w:p>
          <w:p w14:paraId="28D9A376">
            <w:pPr>
              <w:spacing w:before="63" w:line="191" w:lineRule="auto"/>
              <w:ind w:left="311"/>
              <w:rPr>
                <w:rFonts w:hint="eastAsia" w:ascii="Arial" w:hAnsi="Arial" w:eastAsia="宋体" w:cs="Arial"/>
                <w:sz w:val="22"/>
                <w:szCs w:val="22"/>
                <w:lang w:eastAsia="zh-CN"/>
              </w:rPr>
            </w:pPr>
          </w:p>
        </w:tc>
      </w:tr>
      <w:tr w14:paraId="08FC2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848" w:type="dxa"/>
            <w:vAlign w:val="top"/>
          </w:tcPr>
          <w:p w14:paraId="6506C4A2">
            <w:pPr>
              <w:spacing w:before="277" w:line="300" w:lineRule="exact"/>
              <w:ind w:left="185"/>
              <w:rPr>
                <w:rFonts w:ascii="Arial" w:hAnsi="Arial" w:eastAsia="Arial" w:cs="Arial"/>
                <w:sz w:val="22"/>
                <w:szCs w:val="22"/>
              </w:rPr>
            </w:pPr>
            <w:r>
              <w:rPr>
                <w:rFonts w:ascii="Arial" w:hAnsi="Arial" w:eastAsia="Arial" w:cs="Arial"/>
                <w:spacing w:val="-2"/>
                <w:position w:val="1"/>
                <w:sz w:val="22"/>
                <w:szCs w:val="22"/>
              </w:rPr>
              <w:t>9.1.2</w:t>
            </w:r>
          </w:p>
        </w:tc>
        <w:tc>
          <w:tcPr>
            <w:tcW w:w="7511" w:type="dxa"/>
            <w:vAlign w:val="top"/>
          </w:tcPr>
          <w:p w14:paraId="617BB571">
            <w:pPr>
              <w:pStyle w:val="16"/>
              <w:spacing w:before="30" w:line="228" w:lineRule="auto"/>
              <w:ind w:left="6" w:right="37"/>
              <w:jc w:val="both"/>
            </w:pPr>
            <w:r>
              <w:rPr>
                <w:spacing w:val="-1"/>
              </w:rPr>
              <w:t>动态调度与资源再分配：医院调拨优先，自动匹配区域内高消耗机构或基层医</w:t>
            </w:r>
            <w:r>
              <w:t>院，生成调拨建议</w:t>
            </w:r>
            <w:r>
              <w:rPr>
                <w:rFonts w:ascii="Arial" w:hAnsi="Arial" w:eastAsia="Arial" w:cs="Arial"/>
              </w:rPr>
              <w:t>(</w:t>
            </w:r>
            <w:r>
              <w:t>如调出方、调入方、数量</w:t>
            </w:r>
            <w:r>
              <w:rPr>
                <w:rFonts w:ascii="Arial" w:hAnsi="Arial" w:eastAsia="Arial" w:cs="Arial"/>
              </w:rPr>
              <w:t>),</w:t>
            </w:r>
            <w:r>
              <w:rPr>
                <w:spacing w:val="-1"/>
              </w:rPr>
              <w:t>优先通过一级库间横向调配消化</w:t>
            </w:r>
            <w:r>
              <w:rPr>
                <w:spacing w:val="-3"/>
              </w:rPr>
              <w:t>库存。</w:t>
            </w:r>
          </w:p>
        </w:tc>
        <w:tc>
          <w:tcPr>
            <w:tcW w:w="780" w:type="dxa"/>
            <w:vAlign w:val="top"/>
          </w:tcPr>
          <w:p w14:paraId="5AD3573B">
            <w:pPr>
              <w:spacing w:line="286" w:lineRule="auto"/>
              <w:rPr>
                <w:rFonts w:ascii="Arial"/>
                <w:sz w:val="21"/>
              </w:rPr>
            </w:pPr>
          </w:p>
          <w:p w14:paraId="6478E5E0">
            <w:pPr>
              <w:spacing w:before="63" w:line="191" w:lineRule="auto"/>
              <w:ind w:left="311"/>
              <w:rPr>
                <w:rFonts w:hint="eastAsia" w:ascii="Arial" w:hAnsi="Arial" w:eastAsia="宋体" w:cs="Arial"/>
                <w:sz w:val="22"/>
                <w:szCs w:val="22"/>
                <w:lang w:eastAsia="zh-CN"/>
              </w:rPr>
            </w:pPr>
          </w:p>
        </w:tc>
      </w:tr>
      <w:tr w14:paraId="4F5E5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848" w:type="dxa"/>
            <w:vAlign w:val="top"/>
          </w:tcPr>
          <w:p w14:paraId="2DA74415">
            <w:pPr>
              <w:spacing w:before="210" w:line="301" w:lineRule="exact"/>
              <w:ind w:left="185"/>
              <w:rPr>
                <w:rFonts w:ascii="Arial" w:hAnsi="Arial" w:eastAsia="Arial" w:cs="Arial"/>
                <w:sz w:val="22"/>
                <w:szCs w:val="22"/>
              </w:rPr>
            </w:pPr>
            <w:r>
              <w:rPr>
                <w:rFonts w:ascii="Arial" w:hAnsi="Arial" w:eastAsia="Arial" w:cs="Arial"/>
                <w:spacing w:val="-2"/>
                <w:position w:val="1"/>
                <w:sz w:val="22"/>
                <w:szCs w:val="22"/>
              </w:rPr>
              <w:t>9.1.3</w:t>
            </w:r>
          </w:p>
        </w:tc>
        <w:tc>
          <w:tcPr>
            <w:tcW w:w="7511" w:type="dxa"/>
            <w:vAlign w:val="top"/>
          </w:tcPr>
          <w:p w14:paraId="7FF90C33">
            <w:pPr>
              <w:pStyle w:val="16"/>
              <w:spacing w:before="32" w:line="242" w:lineRule="auto"/>
              <w:ind w:left="9" w:right="37"/>
            </w:pPr>
            <w:r>
              <w:rPr>
                <w:spacing w:val="-1"/>
              </w:rPr>
              <w:t>系统提供自定义近效期阈值设置功能。可设置对特定药品的特俗近效期管理预</w:t>
            </w:r>
            <w:r>
              <w:rPr>
                <w:spacing w:val="-11"/>
              </w:rPr>
              <w:t>警。</w:t>
            </w:r>
          </w:p>
        </w:tc>
        <w:tc>
          <w:tcPr>
            <w:tcW w:w="780" w:type="dxa"/>
            <w:vAlign w:val="top"/>
          </w:tcPr>
          <w:p w14:paraId="44BBB53F">
            <w:pPr>
              <w:rPr>
                <w:rFonts w:ascii="Arial"/>
                <w:sz w:val="21"/>
              </w:rPr>
            </w:pPr>
          </w:p>
        </w:tc>
      </w:tr>
      <w:tr w14:paraId="104E8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48" w:type="dxa"/>
            <w:vAlign w:val="top"/>
          </w:tcPr>
          <w:p w14:paraId="22AAF213">
            <w:pPr>
              <w:pStyle w:val="16"/>
              <w:spacing w:before="149" w:line="222" w:lineRule="auto"/>
              <w:ind w:left="319"/>
            </w:pPr>
            <w:r>
              <w:rPr>
                <w:b/>
                <w:bCs/>
                <w:spacing w:val="-3"/>
              </w:rPr>
              <w:t>十</w:t>
            </w:r>
          </w:p>
        </w:tc>
        <w:tc>
          <w:tcPr>
            <w:tcW w:w="7511" w:type="dxa"/>
            <w:vAlign w:val="top"/>
          </w:tcPr>
          <w:p w14:paraId="14460D98">
            <w:pPr>
              <w:pStyle w:val="16"/>
              <w:spacing w:before="32" w:line="220" w:lineRule="auto"/>
              <w:ind w:left="13"/>
            </w:pPr>
            <w:r>
              <w:rPr>
                <w:b/>
                <w:bCs/>
                <w:spacing w:val="-4"/>
              </w:rPr>
              <w:t>决策中心大屏</w:t>
            </w:r>
          </w:p>
        </w:tc>
        <w:tc>
          <w:tcPr>
            <w:tcW w:w="780" w:type="dxa"/>
            <w:vAlign w:val="top"/>
          </w:tcPr>
          <w:p w14:paraId="5ED3F3C7">
            <w:pPr>
              <w:rPr>
                <w:rFonts w:ascii="Arial"/>
                <w:sz w:val="21"/>
              </w:rPr>
            </w:pPr>
          </w:p>
        </w:tc>
      </w:tr>
      <w:tr w14:paraId="64C94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6" w:hRule="atLeast"/>
        </w:trPr>
        <w:tc>
          <w:tcPr>
            <w:tcW w:w="848" w:type="dxa"/>
            <w:vAlign w:val="top"/>
          </w:tcPr>
          <w:p w14:paraId="50FE50D6">
            <w:pPr>
              <w:spacing w:line="247" w:lineRule="auto"/>
              <w:rPr>
                <w:rFonts w:ascii="Arial"/>
                <w:sz w:val="21"/>
              </w:rPr>
            </w:pPr>
          </w:p>
          <w:p w14:paraId="4F9A532D">
            <w:pPr>
              <w:spacing w:line="248" w:lineRule="auto"/>
              <w:rPr>
                <w:rFonts w:ascii="Arial"/>
                <w:sz w:val="21"/>
              </w:rPr>
            </w:pPr>
          </w:p>
          <w:p w14:paraId="3B81F0A7">
            <w:pPr>
              <w:spacing w:before="63" w:line="301" w:lineRule="exact"/>
              <w:ind w:left="231"/>
              <w:rPr>
                <w:rFonts w:ascii="Arial" w:hAnsi="Arial" w:eastAsia="Arial" w:cs="Arial"/>
                <w:sz w:val="22"/>
                <w:szCs w:val="22"/>
              </w:rPr>
            </w:pPr>
            <w:r>
              <w:rPr>
                <w:rFonts w:ascii="Arial" w:hAnsi="Arial" w:eastAsia="Arial" w:cs="Arial"/>
                <w:spacing w:val="-6"/>
                <w:position w:val="1"/>
                <w:sz w:val="22"/>
                <w:szCs w:val="22"/>
              </w:rPr>
              <w:t>10.1</w:t>
            </w:r>
          </w:p>
        </w:tc>
        <w:tc>
          <w:tcPr>
            <w:tcW w:w="7511" w:type="dxa"/>
            <w:vAlign w:val="top"/>
          </w:tcPr>
          <w:p w14:paraId="51BD861B">
            <w:pPr>
              <w:pStyle w:val="16"/>
              <w:spacing w:before="33" w:line="232" w:lineRule="auto"/>
              <w:ind w:left="5" w:right="37"/>
              <w:jc w:val="both"/>
            </w:pPr>
            <w:r>
              <w:rPr>
                <w:spacing w:val="-1"/>
              </w:rPr>
              <w:t>平台按医共体中心（云）药房管理需要，提供决策分析大屏，全面汇总统计全县医疗机构的各类监控数据，包含药房分布、库存状态监测、近效期监测、抢救药品监测、药品消耗量监测、采购监测等展示药品的实时库存量、分布位置</w:t>
            </w:r>
            <w:r>
              <w:rPr>
                <w:spacing w:val="15"/>
              </w:rPr>
              <w:t xml:space="preserve"> </w:t>
            </w:r>
            <w:r>
              <w:rPr>
                <w:spacing w:val="-1"/>
              </w:rPr>
              <w:t>、</w:t>
            </w:r>
            <w:r>
              <w:rPr>
                <w:spacing w:val="-26"/>
              </w:rPr>
              <w:t xml:space="preserve"> </w:t>
            </w:r>
            <w:r>
              <w:rPr>
                <w:spacing w:val="-1"/>
              </w:rPr>
              <w:t>效期批次、周转率及采购在途状态等关键信息，支持多维度数据分析</w:t>
            </w:r>
            <w:r>
              <w:rPr>
                <w:rFonts w:ascii="Arial" w:hAnsi="Arial" w:eastAsia="Arial" w:cs="Arial"/>
                <w:spacing w:val="-1"/>
              </w:rPr>
              <w:t>(</w:t>
            </w:r>
            <w:r>
              <w:rPr>
                <w:spacing w:val="-1"/>
              </w:rPr>
              <w:t>如品类占比、消耗趋势、短缺预警等</w:t>
            </w:r>
            <w:r>
              <w:rPr>
                <w:rFonts w:ascii="Arial" w:hAnsi="Arial" w:eastAsia="Arial" w:cs="Arial"/>
                <w:spacing w:val="-1"/>
              </w:rPr>
              <w:t>),</w:t>
            </w:r>
            <w:r>
              <w:rPr>
                <w:spacing w:val="-1"/>
              </w:rPr>
              <w:t>并通过可视化图表直观呈现区域库存全景。</w:t>
            </w:r>
          </w:p>
        </w:tc>
        <w:tc>
          <w:tcPr>
            <w:tcW w:w="780" w:type="dxa"/>
            <w:vAlign w:val="top"/>
          </w:tcPr>
          <w:p w14:paraId="3A119D31">
            <w:pPr>
              <w:rPr>
                <w:rFonts w:ascii="Arial"/>
                <w:sz w:val="21"/>
              </w:rPr>
            </w:pPr>
          </w:p>
        </w:tc>
      </w:tr>
      <w:tr w14:paraId="29165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trPr>
        <w:tc>
          <w:tcPr>
            <w:tcW w:w="848" w:type="dxa"/>
            <w:vAlign w:val="top"/>
          </w:tcPr>
          <w:p w14:paraId="0BF79326">
            <w:pPr>
              <w:spacing w:line="361" w:lineRule="auto"/>
              <w:rPr>
                <w:rFonts w:ascii="Arial"/>
                <w:sz w:val="21"/>
              </w:rPr>
            </w:pPr>
          </w:p>
          <w:p w14:paraId="52502408">
            <w:pPr>
              <w:spacing w:before="63" w:line="300" w:lineRule="exact"/>
              <w:ind w:left="231"/>
              <w:rPr>
                <w:rFonts w:ascii="Arial" w:hAnsi="Arial" w:eastAsia="Arial" w:cs="Arial"/>
                <w:sz w:val="22"/>
                <w:szCs w:val="22"/>
              </w:rPr>
            </w:pPr>
            <w:r>
              <w:rPr>
                <w:rFonts w:ascii="Arial" w:hAnsi="Arial" w:eastAsia="Arial" w:cs="Arial"/>
                <w:spacing w:val="-6"/>
                <w:position w:val="1"/>
                <w:sz w:val="22"/>
                <w:szCs w:val="22"/>
              </w:rPr>
              <w:t>10.2</w:t>
            </w:r>
          </w:p>
        </w:tc>
        <w:tc>
          <w:tcPr>
            <w:tcW w:w="7511" w:type="dxa"/>
            <w:vAlign w:val="top"/>
          </w:tcPr>
          <w:p w14:paraId="453B9527">
            <w:pPr>
              <w:pStyle w:val="16"/>
              <w:spacing w:before="3" w:line="239" w:lineRule="auto"/>
              <w:ind w:left="8" w:right="37" w:firstLine="33"/>
              <w:jc w:val="both"/>
            </w:pPr>
            <w:r>
              <w:rPr>
                <w:spacing w:val="-1"/>
              </w:rPr>
              <w:t>自动生成智能预警</w:t>
            </w:r>
            <w:r>
              <w:rPr>
                <w:rFonts w:ascii="Arial" w:hAnsi="Arial" w:eastAsia="Arial" w:cs="Arial"/>
                <w:spacing w:val="-1"/>
              </w:rPr>
              <w:t>(</w:t>
            </w:r>
            <w:r>
              <w:rPr>
                <w:spacing w:val="-1"/>
              </w:rPr>
              <w:t>如近效期提醒、库存阈值报</w:t>
            </w:r>
            <w:r>
              <w:rPr>
                <w:spacing w:val="-2"/>
              </w:rPr>
              <w:t>警</w:t>
            </w:r>
            <w:r>
              <w:rPr>
                <w:rFonts w:ascii="Arial" w:hAnsi="Arial" w:eastAsia="Arial" w:cs="Arial"/>
                <w:spacing w:val="-2"/>
              </w:rPr>
              <w:t>),</w:t>
            </w:r>
            <w:r>
              <w:rPr>
                <w:spacing w:val="-2"/>
              </w:rPr>
              <w:t>帮助管理部门快速识别过剩</w:t>
            </w:r>
            <w:r>
              <w:rPr>
                <w:spacing w:val="-1"/>
              </w:rPr>
              <w:t>或短缺风险，优化采购计划与跨机构调拨策略，减少库存冗</w:t>
            </w:r>
            <w:r>
              <w:rPr>
                <w:spacing w:val="-2"/>
              </w:rPr>
              <w:t>余和断供风险，同</w:t>
            </w:r>
            <w:r>
              <w:rPr>
                <w:spacing w:val="-1"/>
              </w:rPr>
              <w:t>时结合历史消耗数据预测需求波动，提升库存周转效率与精准供给能力，最终</w:t>
            </w:r>
            <w:r>
              <w:rPr>
                <w:spacing w:val="-2"/>
              </w:rPr>
              <w:t>实现区域药品资源的高效协同与科学管控。</w:t>
            </w:r>
          </w:p>
        </w:tc>
        <w:tc>
          <w:tcPr>
            <w:tcW w:w="780" w:type="dxa"/>
            <w:vAlign w:val="top"/>
          </w:tcPr>
          <w:p w14:paraId="511F251B">
            <w:pPr>
              <w:spacing w:line="435" w:lineRule="auto"/>
              <w:rPr>
                <w:rFonts w:ascii="Arial"/>
                <w:sz w:val="21"/>
              </w:rPr>
            </w:pPr>
          </w:p>
          <w:p w14:paraId="67F7DDC3">
            <w:pPr>
              <w:spacing w:before="63" w:line="191" w:lineRule="auto"/>
              <w:ind w:left="311"/>
              <w:rPr>
                <w:rFonts w:hint="eastAsia" w:ascii="Arial" w:hAnsi="Arial" w:eastAsia="宋体" w:cs="Arial"/>
                <w:sz w:val="22"/>
                <w:szCs w:val="22"/>
                <w:lang w:eastAsia="zh-CN"/>
              </w:rPr>
            </w:pPr>
          </w:p>
        </w:tc>
      </w:tr>
      <w:tr w14:paraId="6F59C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48" w:type="dxa"/>
            <w:vAlign w:val="top"/>
          </w:tcPr>
          <w:p w14:paraId="24F4300D">
            <w:pPr>
              <w:pStyle w:val="16"/>
              <w:spacing w:before="150" w:line="222" w:lineRule="auto"/>
              <w:ind w:left="209"/>
            </w:pPr>
            <w:r>
              <w:rPr>
                <w:b/>
                <w:bCs/>
                <w:spacing w:val="-1"/>
              </w:rPr>
              <w:t>十一</w:t>
            </w:r>
          </w:p>
        </w:tc>
        <w:tc>
          <w:tcPr>
            <w:tcW w:w="7511" w:type="dxa"/>
            <w:vAlign w:val="top"/>
          </w:tcPr>
          <w:p w14:paraId="7839DEFE">
            <w:pPr>
              <w:pStyle w:val="16"/>
              <w:spacing w:before="33" w:line="222" w:lineRule="auto"/>
              <w:ind w:left="10"/>
            </w:pPr>
            <w:r>
              <w:rPr>
                <w:b/>
                <w:bCs/>
                <w:spacing w:val="-4"/>
              </w:rPr>
              <w:t>系统设置</w:t>
            </w:r>
          </w:p>
        </w:tc>
        <w:tc>
          <w:tcPr>
            <w:tcW w:w="780" w:type="dxa"/>
            <w:vAlign w:val="top"/>
          </w:tcPr>
          <w:p w14:paraId="6BA74843">
            <w:pPr>
              <w:rPr>
                <w:rFonts w:ascii="Arial"/>
                <w:sz w:val="21"/>
              </w:rPr>
            </w:pPr>
          </w:p>
        </w:tc>
      </w:tr>
      <w:tr w14:paraId="05AE3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48" w:type="dxa"/>
            <w:vAlign w:val="top"/>
          </w:tcPr>
          <w:p w14:paraId="21C7C1EF">
            <w:pPr>
              <w:spacing w:before="203" w:line="197" w:lineRule="auto"/>
              <w:ind w:left="231"/>
              <w:rPr>
                <w:rFonts w:ascii="Arial" w:hAnsi="Arial" w:eastAsia="Arial" w:cs="Arial"/>
                <w:sz w:val="22"/>
                <w:szCs w:val="22"/>
              </w:rPr>
            </w:pPr>
            <w:r>
              <w:rPr>
                <w:rFonts w:ascii="Arial" w:hAnsi="Arial" w:eastAsia="Arial" w:cs="Arial"/>
                <w:spacing w:val="-6"/>
                <w:sz w:val="22"/>
                <w:szCs w:val="22"/>
              </w:rPr>
              <w:t>11.1</w:t>
            </w:r>
          </w:p>
        </w:tc>
        <w:tc>
          <w:tcPr>
            <w:tcW w:w="7511" w:type="dxa"/>
            <w:vAlign w:val="top"/>
          </w:tcPr>
          <w:p w14:paraId="09BBE453">
            <w:pPr>
              <w:pStyle w:val="16"/>
              <w:spacing w:before="2" w:line="234" w:lineRule="auto"/>
              <w:ind w:left="9" w:right="17" w:hanging="4"/>
            </w:pPr>
            <w:r>
              <w:rPr>
                <w:spacing w:val="1"/>
              </w:rPr>
              <w:t>机构设置   ：实现区域内各医疗机构的设置</w:t>
            </w:r>
            <w:r>
              <w:rPr>
                <w:rFonts w:ascii="Arial" w:hAnsi="Arial" w:eastAsia="Arial" w:cs="Arial"/>
                <w:spacing w:val="1"/>
              </w:rPr>
              <w:t>(</w:t>
            </w:r>
            <w:r>
              <w:rPr>
                <w:spacing w:val="1"/>
              </w:rPr>
              <w:t>县级医院、乡镇卫生院、村卫生</w:t>
            </w:r>
            <w:r>
              <w:rPr>
                <w:spacing w:val="-1"/>
              </w:rPr>
              <w:t>室</w:t>
            </w:r>
            <w:r>
              <w:rPr>
                <w:rFonts w:ascii="Arial" w:hAnsi="Arial" w:eastAsia="Arial" w:cs="Arial"/>
                <w:spacing w:val="-1"/>
              </w:rPr>
              <w:t>),</w:t>
            </w:r>
            <w:r>
              <w:rPr>
                <w:spacing w:val="-1"/>
              </w:rPr>
              <w:t>包含医疗机构注册、启用、停用、参数设置等。</w:t>
            </w:r>
          </w:p>
        </w:tc>
        <w:tc>
          <w:tcPr>
            <w:tcW w:w="780" w:type="dxa"/>
            <w:vAlign w:val="top"/>
          </w:tcPr>
          <w:p w14:paraId="41710BBE">
            <w:pPr>
              <w:rPr>
                <w:rFonts w:ascii="Arial"/>
                <w:sz w:val="21"/>
              </w:rPr>
            </w:pPr>
          </w:p>
        </w:tc>
      </w:tr>
      <w:tr w14:paraId="55043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48" w:type="dxa"/>
            <w:vAlign w:val="top"/>
          </w:tcPr>
          <w:p w14:paraId="3C28B625">
            <w:pPr>
              <w:spacing w:before="204" w:line="197" w:lineRule="auto"/>
              <w:ind w:left="231"/>
              <w:rPr>
                <w:rFonts w:ascii="Arial" w:hAnsi="Arial" w:eastAsia="Arial" w:cs="Arial"/>
                <w:sz w:val="22"/>
                <w:szCs w:val="22"/>
              </w:rPr>
            </w:pPr>
            <w:r>
              <w:rPr>
                <w:rFonts w:ascii="Arial" w:hAnsi="Arial" w:eastAsia="Arial" w:cs="Arial"/>
                <w:spacing w:val="-6"/>
                <w:sz w:val="22"/>
                <w:szCs w:val="22"/>
              </w:rPr>
              <w:t>11.2</w:t>
            </w:r>
          </w:p>
        </w:tc>
        <w:tc>
          <w:tcPr>
            <w:tcW w:w="7511" w:type="dxa"/>
            <w:vAlign w:val="top"/>
          </w:tcPr>
          <w:p w14:paraId="35C617C4">
            <w:pPr>
              <w:pStyle w:val="16"/>
              <w:spacing w:before="34" w:line="221" w:lineRule="auto"/>
              <w:ind w:left="9" w:right="167"/>
            </w:pPr>
            <w:r>
              <w:rPr>
                <w:spacing w:val="-1"/>
              </w:rPr>
              <w:t>角色及权限设置：   实现区域中心药房平台根据行政架构</w:t>
            </w:r>
            <w:r>
              <w:rPr>
                <w:spacing w:val="-2"/>
              </w:rPr>
              <w:t>对各角色的注册、</w:t>
            </w:r>
            <w:r>
              <w:rPr>
                <w:spacing w:val="-3"/>
              </w:rPr>
              <w:t>启用、停用以及平台功能权限设置等。</w:t>
            </w:r>
          </w:p>
        </w:tc>
        <w:tc>
          <w:tcPr>
            <w:tcW w:w="780" w:type="dxa"/>
            <w:vAlign w:val="top"/>
          </w:tcPr>
          <w:p w14:paraId="738F4D45">
            <w:pPr>
              <w:rPr>
                <w:rFonts w:ascii="Arial"/>
                <w:sz w:val="21"/>
              </w:rPr>
            </w:pPr>
          </w:p>
        </w:tc>
      </w:tr>
      <w:tr w14:paraId="6CB99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848" w:type="dxa"/>
            <w:vAlign w:val="top"/>
          </w:tcPr>
          <w:p w14:paraId="717A9116">
            <w:pPr>
              <w:spacing w:before="277" w:line="301" w:lineRule="exact"/>
              <w:ind w:left="231"/>
              <w:rPr>
                <w:rFonts w:ascii="Arial" w:hAnsi="Arial" w:eastAsia="Arial" w:cs="Arial"/>
                <w:sz w:val="22"/>
                <w:szCs w:val="22"/>
              </w:rPr>
            </w:pPr>
            <w:r>
              <w:rPr>
                <w:rFonts w:ascii="Arial" w:hAnsi="Arial" w:eastAsia="Arial" w:cs="Arial"/>
                <w:spacing w:val="-6"/>
                <w:position w:val="1"/>
                <w:sz w:val="22"/>
                <w:szCs w:val="22"/>
              </w:rPr>
              <w:t>11.3</w:t>
            </w:r>
          </w:p>
        </w:tc>
        <w:tc>
          <w:tcPr>
            <w:tcW w:w="7511" w:type="dxa"/>
            <w:vAlign w:val="top"/>
          </w:tcPr>
          <w:p w14:paraId="5A316B71">
            <w:pPr>
              <w:pStyle w:val="16"/>
              <w:spacing w:before="30" w:line="228" w:lineRule="auto"/>
              <w:ind w:left="7" w:right="37"/>
              <w:jc w:val="both"/>
            </w:pPr>
            <w:r>
              <w:rPr>
                <w:spacing w:val="1"/>
              </w:rPr>
              <w:t>预警设置   ：实现多层级多应用场应的预警规则及预警阀值设置，</w:t>
            </w:r>
            <w:r>
              <w:t>支持多级</w:t>
            </w:r>
            <w:r>
              <w:rPr>
                <w:spacing w:val="-1"/>
              </w:rPr>
              <w:t>预警设置。包含库存预警、近效期预警、积压预警、审核超时预警、配送超时预警、药品目录冲突预警、应急预警等。</w:t>
            </w:r>
          </w:p>
        </w:tc>
        <w:tc>
          <w:tcPr>
            <w:tcW w:w="780" w:type="dxa"/>
            <w:vAlign w:val="top"/>
          </w:tcPr>
          <w:p w14:paraId="644A3CB3">
            <w:pPr>
              <w:rPr>
                <w:rFonts w:ascii="Arial"/>
                <w:sz w:val="21"/>
              </w:rPr>
            </w:pPr>
          </w:p>
        </w:tc>
      </w:tr>
      <w:tr w14:paraId="5BB44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48" w:type="dxa"/>
            <w:vAlign w:val="top"/>
          </w:tcPr>
          <w:p w14:paraId="144BBE5E">
            <w:pPr>
              <w:spacing w:before="202" w:line="197" w:lineRule="auto"/>
              <w:ind w:left="231"/>
              <w:rPr>
                <w:rFonts w:ascii="Arial" w:hAnsi="Arial" w:eastAsia="Arial" w:cs="Arial"/>
                <w:sz w:val="22"/>
                <w:szCs w:val="22"/>
              </w:rPr>
            </w:pPr>
            <w:r>
              <w:rPr>
                <w:rFonts w:ascii="Arial" w:hAnsi="Arial" w:eastAsia="Arial" w:cs="Arial"/>
                <w:spacing w:val="-6"/>
                <w:sz w:val="22"/>
                <w:szCs w:val="22"/>
              </w:rPr>
              <w:t>11.4</w:t>
            </w:r>
          </w:p>
        </w:tc>
        <w:tc>
          <w:tcPr>
            <w:tcW w:w="7511" w:type="dxa"/>
            <w:vAlign w:val="top"/>
          </w:tcPr>
          <w:p w14:paraId="2B5F41C4">
            <w:pPr>
              <w:pStyle w:val="16"/>
              <w:spacing w:before="31" w:line="222" w:lineRule="auto"/>
              <w:ind w:left="6" w:right="128"/>
            </w:pPr>
            <w:r>
              <w:t>流程设置   ：实现各业务流程的节点及审批关系设置，包含采购审核流程、</w:t>
            </w:r>
            <w:r>
              <w:rPr>
                <w:spacing w:val="-2"/>
              </w:rPr>
              <w:t>余缺药品调度审核流程、近效期处置审核流程等。</w:t>
            </w:r>
          </w:p>
        </w:tc>
        <w:tc>
          <w:tcPr>
            <w:tcW w:w="780" w:type="dxa"/>
            <w:vAlign w:val="top"/>
          </w:tcPr>
          <w:p w14:paraId="7000ECE5">
            <w:pPr>
              <w:rPr>
                <w:rFonts w:ascii="Arial"/>
                <w:sz w:val="21"/>
              </w:rPr>
            </w:pPr>
          </w:p>
        </w:tc>
      </w:tr>
      <w:tr w14:paraId="424CC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848" w:type="dxa"/>
            <w:vAlign w:val="top"/>
          </w:tcPr>
          <w:p w14:paraId="4345AFC9">
            <w:pPr>
              <w:spacing w:before="278" w:line="301" w:lineRule="exact"/>
              <w:ind w:left="231"/>
              <w:rPr>
                <w:rFonts w:ascii="Arial" w:hAnsi="Arial" w:eastAsia="Arial" w:cs="Arial"/>
                <w:sz w:val="22"/>
                <w:szCs w:val="22"/>
              </w:rPr>
            </w:pPr>
            <w:r>
              <w:rPr>
                <w:rFonts w:ascii="Arial" w:hAnsi="Arial" w:eastAsia="Arial" w:cs="Arial"/>
                <w:spacing w:val="-6"/>
                <w:position w:val="1"/>
                <w:sz w:val="22"/>
                <w:szCs w:val="22"/>
              </w:rPr>
              <w:t>11.5</w:t>
            </w:r>
          </w:p>
        </w:tc>
        <w:tc>
          <w:tcPr>
            <w:tcW w:w="7511" w:type="dxa"/>
            <w:vAlign w:val="top"/>
          </w:tcPr>
          <w:p w14:paraId="319000B8">
            <w:pPr>
              <w:pStyle w:val="16"/>
              <w:spacing w:before="33" w:line="228" w:lineRule="auto"/>
              <w:ind w:left="6" w:right="61"/>
              <w:jc w:val="both"/>
            </w:pPr>
            <w:r>
              <w:rPr>
                <w:spacing w:val="1"/>
              </w:rPr>
              <w:t>字典管理   ：实现系统运行参数及行业标准数据的可配置化功能，</w:t>
            </w:r>
            <w:r>
              <w:t>包含区域</w:t>
            </w:r>
            <w:r>
              <w:rPr>
                <w:spacing w:val="-1"/>
              </w:rPr>
              <w:t>类字典、药品类字典</w:t>
            </w:r>
            <w:r>
              <w:rPr>
                <w:rFonts w:ascii="Arial" w:hAnsi="Arial" w:eastAsia="Arial" w:cs="Arial"/>
                <w:spacing w:val="-1"/>
              </w:rPr>
              <w:t>(</w:t>
            </w:r>
            <w:r>
              <w:rPr>
                <w:spacing w:val="-1"/>
              </w:rPr>
              <w:t>剂型、药理分类、规格单位等</w:t>
            </w:r>
            <w:r>
              <w:rPr>
                <w:rFonts w:ascii="Arial" w:hAnsi="Arial" w:eastAsia="Arial" w:cs="Arial"/>
                <w:spacing w:val="-1"/>
              </w:rPr>
              <w:t>)</w:t>
            </w:r>
            <w:r>
              <w:rPr>
                <w:spacing w:val="-1"/>
              </w:rPr>
              <w:t>、业务类字</w:t>
            </w:r>
            <w:r>
              <w:rPr>
                <w:spacing w:val="-2"/>
              </w:rPr>
              <w:t>典</w:t>
            </w:r>
            <w:r>
              <w:rPr>
                <w:rFonts w:ascii="Arial" w:hAnsi="Arial" w:eastAsia="Arial" w:cs="Arial"/>
                <w:spacing w:val="-2"/>
              </w:rPr>
              <w:t>(</w:t>
            </w:r>
            <w:r>
              <w:rPr>
                <w:spacing w:val="-2"/>
              </w:rPr>
              <w:t>采购类型、</w:t>
            </w:r>
            <w:r>
              <w:rPr>
                <w:spacing w:val="-1"/>
              </w:rPr>
              <w:t>库存状态、配送类型等</w:t>
            </w:r>
            <w:r>
              <w:rPr>
                <w:rFonts w:ascii="Arial" w:hAnsi="Arial" w:eastAsia="Arial" w:cs="Arial"/>
                <w:spacing w:val="-1"/>
              </w:rPr>
              <w:t>)</w:t>
            </w:r>
            <w:r>
              <w:rPr>
                <w:spacing w:val="-1"/>
              </w:rPr>
              <w:t>、机构类字。</w:t>
            </w:r>
          </w:p>
        </w:tc>
        <w:tc>
          <w:tcPr>
            <w:tcW w:w="780" w:type="dxa"/>
            <w:vAlign w:val="top"/>
          </w:tcPr>
          <w:p w14:paraId="46E133AB">
            <w:pPr>
              <w:rPr>
                <w:rFonts w:ascii="Arial"/>
                <w:sz w:val="21"/>
              </w:rPr>
            </w:pPr>
          </w:p>
        </w:tc>
      </w:tr>
      <w:tr w14:paraId="78853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848" w:type="dxa"/>
            <w:vAlign w:val="top"/>
          </w:tcPr>
          <w:p w14:paraId="6DDB8759">
            <w:pPr>
              <w:spacing w:before="278" w:line="301" w:lineRule="exact"/>
              <w:ind w:left="231"/>
              <w:rPr>
                <w:rFonts w:ascii="Arial" w:hAnsi="Arial" w:eastAsia="Arial" w:cs="Arial"/>
                <w:spacing w:val="-6"/>
                <w:position w:val="1"/>
                <w:sz w:val="22"/>
                <w:szCs w:val="22"/>
              </w:rPr>
            </w:pPr>
            <w:r>
              <w:rPr>
                <w:b/>
                <w:bCs/>
                <w:spacing w:val="-1"/>
              </w:rPr>
              <w:t>十</w:t>
            </w:r>
            <w:r>
              <w:rPr>
                <w:rFonts w:hint="eastAsia" w:eastAsia="宋体"/>
                <w:b/>
                <w:bCs/>
                <w:spacing w:val="-1"/>
                <w:lang w:eastAsia="zh-CN"/>
              </w:rPr>
              <w:t>二</w:t>
            </w:r>
          </w:p>
        </w:tc>
        <w:tc>
          <w:tcPr>
            <w:tcW w:w="7511" w:type="dxa"/>
            <w:vAlign w:val="center"/>
          </w:tcPr>
          <w:p w14:paraId="5F3EEC40">
            <w:pPr>
              <w:pStyle w:val="16"/>
              <w:spacing w:before="33" w:line="228" w:lineRule="auto"/>
              <w:ind w:left="6" w:right="61"/>
              <w:jc w:val="both"/>
              <w:rPr>
                <w:spacing w:val="1"/>
              </w:rPr>
            </w:pPr>
            <w:r>
              <w:rPr>
                <w:rFonts w:hint="eastAsia" w:ascii="宋体" w:hAnsi="宋体" w:cs="宋体"/>
                <w:color w:val="auto"/>
                <w:sz w:val="24"/>
                <w:szCs w:val="24"/>
                <w:vertAlign w:val="baseline"/>
                <w:lang w:val="en-US" w:eastAsia="zh-CN"/>
              </w:rPr>
              <w:t>医共体内医疗机构系统对接</w:t>
            </w:r>
          </w:p>
        </w:tc>
        <w:tc>
          <w:tcPr>
            <w:tcW w:w="780" w:type="dxa"/>
            <w:vAlign w:val="top"/>
          </w:tcPr>
          <w:p w14:paraId="5299029E">
            <w:pPr>
              <w:rPr>
                <w:rFonts w:ascii="Arial"/>
                <w:sz w:val="21"/>
              </w:rPr>
            </w:pPr>
          </w:p>
        </w:tc>
      </w:tr>
      <w:tr w14:paraId="341D4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848" w:type="dxa"/>
            <w:vAlign w:val="top"/>
          </w:tcPr>
          <w:p w14:paraId="226CDAC3">
            <w:pPr>
              <w:spacing w:before="278" w:line="301" w:lineRule="exact"/>
              <w:ind w:left="231"/>
              <w:rPr>
                <w:rFonts w:hint="eastAsia" w:eastAsia="宋体"/>
                <w:b/>
                <w:bCs/>
                <w:spacing w:val="-1"/>
                <w:lang w:val="en-US" w:eastAsia="zh-CN"/>
              </w:rPr>
            </w:pPr>
            <w:r>
              <w:rPr>
                <w:rFonts w:hint="eastAsia" w:eastAsia="宋体"/>
                <w:b/>
                <w:bCs/>
                <w:spacing w:val="-1"/>
                <w:lang w:val="en-US" w:eastAsia="zh-CN"/>
              </w:rPr>
              <w:t>12.1</w:t>
            </w:r>
          </w:p>
        </w:tc>
        <w:tc>
          <w:tcPr>
            <w:tcW w:w="7511" w:type="dxa"/>
            <w:vAlign w:val="center"/>
          </w:tcPr>
          <w:p w14:paraId="5B4FD6B0">
            <w:pPr>
              <w:pStyle w:val="13"/>
              <w:pageBreakBefore w:val="0"/>
              <w:numPr>
                <w:ilvl w:val="0"/>
                <w:numId w:val="0"/>
              </w:numPr>
              <w:kinsoku/>
              <w:wordWrap/>
              <w:overflowPunct/>
              <w:topLinePunct w:val="0"/>
              <w:autoSpaceDE/>
              <w:autoSpaceDN/>
              <w:bidi w:val="0"/>
              <w:adjustRightInd w:val="0"/>
              <w:snapToGrid w:val="0"/>
              <w:spacing w:line="360" w:lineRule="auto"/>
              <w:ind w:leftChars="0"/>
              <w:jc w:val="both"/>
              <w:textAlignment w:val="auto"/>
              <w:rPr>
                <w:rFonts w:hint="eastAsia" w:cs="宋体"/>
                <w:bCs/>
                <w:color w:val="auto"/>
                <w:kern w:val="2"/>
                <w:sz w:val="21"/>
                <w:szCs w:val="21"/>
                <w:lang w:val="en-US" w:eastAsia="zh-CN" w:bidi="ar-SA"/>
              </w:rPr>
            </w:pPr>
            <w:r>
              <w:rPr>
                <w:rFonts w:hint="eastAsia" w:cs="宋体"/>
                <w:bCs/>
                <w:color w:val="auto"/>
                <w:kern w:val="2"/>
                <w:sz w:val="21"/>
                <w:szCs w:val="21"/>
                <w:lang w:val="en-US" w:eastAsia="zh-CN" w:bidi="ar-SA"/>
              </w:rPr>
              <w:t>实现县域内所有医共体医疗机构系统对接，能够完成管理功能。</w:t>
            </w:r>
          </w:p>
          <w:p w14:paraId="4F5EE632">
            <w:pPr>
              <w:pStyle w:val="16"/>
              <w:spacing w:before="33" w:line="228" w:lineRule="auto"/>
              <w:ind w:left="6" w:right="61"/>
              <w:jc w:val="both"/>
              <w:rPr>
                <w:rFonts w:hint="eastAsia" w:ascii="宋体" w:hAnsi="宋体" w:cs="宋体"/>
                <w:color w:val="auto"/>
                <w:sz w:val="24"/>
                <w:szCs w:val="24"/>
                <w:vertAlign w:val="baseline"/>
                <w:lang w:val="en-US" w:eastAsia="zh-CN"/>
              </w:rPr>
            </w:pPr>
          </w:p>
        </w:tc>
        <w:tc>
          <w:tcPr>
            <w:tcW w:w="780" w:type="dxa"/>
            <w:vAlign w:val="top"/>
          </w:tcPr>
          <w:p w14:paraId="4003A99E">
            <w:pPr>
              <w:rPr>
                <w:rFonts w:ascii="Arial"/>
                <w:sz w:val="21"/>
              </w:rPr>
            </w:pPr>
          </w:p>
        </w:tc>
      </w:tr>
    </w:tbl>
    <w:p w14:paraId="13590A91">
      <w:pPr>
        <w:rPr>
          <w:rFonts w:hint="eastAsia"/>
          <w:sz w:val="28"/>
          <w:szCs w:val="24"/>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069A3F"/>
    <w:multiLevelType w:val="singleLevel"/>
    <w:tmpl w:val="DC069A3F"/>
    <w:lvl w:ilvl="0" w:tentative="0">
      <w:start w:val="2"/>
      <w:numFmt w:val="chineseCounting"/>
      <w:suff w:val="nothing"/>
      <w:lvlText w:val="（%1）"/>
      <w:lvlJc w:val="left"/>
      <w:rPr>
        <w:rFonts w:hint="eastAsia"/>
      </w:rPr>
    </w:lvl>
  </w:abstractNum>
  <w:abstractNum w:abstractNumId="1">
    <w:nsid w:val="E02D25F0"/>
    <w:multiLevelType w:val="singleLevel"/>
    <w:tmpl w:val="E02D25F0"/>
    <w:lvl w:ilvl="0" w:tentative="0">
      <w:start w:val="1"/>
      <w:numFmt w:val="decimal"/>
      <w:lvlText w:val="%1."/>
      <w:lvlJc w:val="left"/>
      <w:pPr>
        <w:tabs>
          <w:tab w:val="left" w:pos="312"/>
        </w:tabs>
      </w:pPr>
    </w:lvl>
  </w:abstractNum>
  <w:abstractNum w:abstractNumId="2">
    <w:nsid w:val="ED5BC6C0"/>
    <w:multiLevelType w:val="multilevel"/>
    <w:tmpl w:val="ED5BC6C0"/>
    <w:lvl w:ilvl="0" w:tentative="0">
      <w:start w:val="1"/>
      <w:numFmt w:val="decimal"/>
      <w:lvlText w:val="%1."/>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1DD238B"/>
    <w:multiLevelType w:val="multilevel"/>
    <w:tmpl w:val="01DD238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44A2A9B"/>
    <w:multiLevelType w:val="multilevel"/>
    <w:tmpl w:val="044A2A9B"/>
    <w:lvl w:ilvl="0" w:tentative="0">
      <w:start w:val="1"/>
      <w:numFmt w:val="decimal"/>
      <w:lvlText w:val="7.%1"/>
      <w:lvlJc w:val="left"/>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61E4E0D"/>
    <w:multiLevelType w:val="multilevel"/>
    <w:tmpl w:val="061E4E0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6883988"/>
    <w:multiLevelType w:val="multilevel"/>
    <w:tmpl w:val="06883988"/>
    <w:lvl w:ilvl="0" w:tentative="0">
      <w:start w:val="1"/>
      <w:numFmt w:val="decimal"/>
      <w:lvlText w:val=" %1)"/>
      <w:lvlJc w:val="left"/>
      <w:pPr>
        <w:ind w:left="680" w:hanging="396"/>
      </w:pPr>
      <w:rPr>
        <w:rFonts w:hint="eastAsia"/>
        <w:sz w:val="21"/>
      </w:rPr>
    </w:lvl>
    <w:lvl w:ilvl="1" w:tentative="0">
      <w:start w:val="0"/>
      <w:numFmt w:val="bullet"/>
      <w:lvlText w:val="▲"/>
      <w:lvlJc w:val="left"/>
      <w:pPr>
        <w:ind w:left="1064" w:hanging="360"/>
      </w:pPr>
      <w:rPr>
        <w:rFonts w:hint="eastAsia" w:ascii="宋体" w:hAnsi="宋体" w:eastAsia="宋体" w:cs="Arial"/>
      </w:r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7">
    <w:nsid w:val="07795A2A"/>
    <w:multiLevelType w:val="multilevel"/>
    <w:tmpl w:val="07795A2A"/>
    <w:lvl w:ilvl="0" w:tentative="0">
      <w:start w:val="1"/>
      <w:numFmt w:val="decimal"/>
      <w:lvlText w:val="(%1)"/>
      <w:lvlJc w:val="left"/>
      <w:pPr>
        <w:ind w:left="704" w:hanging="420"/>
      </w:pPr>
      <w:rPr>
        <w:rFonts w:hint="eastAsia" w:ascii="宋体" w:eastAsia="宋体"/>
        <w:b w:val="0"/>
        <w:i w:val="0"/>
        <w:sz w:val="21"/>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8">
    <w:nsid w:val="0B207EE0"/>
    <w:multiLevelType w:val="multilevel"/>
    <w:tmpl w:val="0B207EE0"/>
    <w:lvl w:ilvl="0" w:tentative="0">
      <w:start w:val="1"/>
      <w:numFmt w:val="decimal"/>
      <w:lvlText w:val="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C913C0D"/>
    <w:multiLevelType w:val="multilevel"/>
    <w:tmpl w:val="0C913C0D"/>
    <w:lvl w:ilvl="0" w:tentative="0">
      <w:start w:val="1"/>
      <w:numFmt w:val="decimal"/>
      <w:lvlText w:val="%1."/>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57F625E"/>
    <w:multiLevelType w:val="multilevel"/>
    <w:tmpl w:val="157F625E"/>
    <w:lvl w:ilvl="0" w:tentative="0">
      <w:start w:val="1"/>
      <w:numFmt w:val="decimal"/>
      <w:lvlText w:val="9.%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CFF0C6D"/>
    <w:multiLevelType w:val="multilevel"/>
    <w:tmpl w:val="1CFF0C6D"/>
    <w:lvl w:ilvl="0" w:tentative="0">
      <w:start w:val="1"/>
      <w:numFmt w:val="decimal"/>
      <w:lvlText w:val="(%1)"/>
      <w:lvlJc w:val="left"/>
      <w:pPr>
        <w:ind w:left="704" w:hanging="420"/>
      </w:pPr>
      <w:rPr>
        <w:rFonts w:hint="eastAsia" w:ascii="宋体" w:eastAsia="宋体"/>
        <w:b w:val="0"/>
        <w:i w:val="0"/>
        <w:sz w:val="21"/>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2">
    <w:nsid w:val="22775A87"/>
    <w:multiLevelType w:val="multilevel"/>
    <w:tmpl w:val="22775A87"/>
    <w:lvl w:ilvl="0" w:tentative="0">
      <w:start w:val="1"/>
      <w:numFmt w:val="decimal"/>
      <w:lvlText w:val="(%1)"/>
      <w:lvlJc w:val="left"/>
      <w:pPr>
        <w:ind w:left="704" w:hanging="420"/>
      </w:pPr>
      <w:rPr>
        <w:rFonts w:hint="eastAsia" w:ascii="宋体" w:eastAsia="宋体"/>
        <w:b w:val="0"/>
        <w:i w:val="0"/>
        <w:sz w:val="21"/>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3">
    <w:nsid w:val="256C6151"/>
    <w:multiLevelType w:val="multilevel"/>
    <w:tmpl w:val="256C6151"/>
    <w:lvl w:ilvl="0" w:tentative="0">
      <w:start w:val="1"/>
      <w:numFmt w:val="decimal"/>
      <w:lvlText w:val="(%1)"/>
      <w:lvlJc w:val="left"/>
      <w:pPr>
        <w:ind w:left="704" w:hanging="420"/>
      </w:pPr>
      <w:rPr>
        <w:rFonts w:hint="eastAsia" w:ascii="宋体" w:eastAsia="宋体"/>
        <w:b w:val="0"/>
        <w:i w:val="0"/>
        <w:sz w:val="21"/>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4">
    <w:nsid w:val="325D595F"/>
    <w:multiLevelType w:val="multilevel"/>
    <w:tmpl w:val="325D595F"/>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2FB72B2"/>
    <w:multiLevelType w:val="multilevel"/>
    <w:tmpl w:val="32FB72B2"/>
    <w:lvl w:ilvl="0" w:tentative="0">
      <w:start w:val="1"/>
      <w:numFmt w:val="decimal"/>
      <w:lvlText w:val="3.%1"/>
      <w:lvlJc w:val="left"/>
      <w:pPr>
        <w:ind w:left="420" w:hanging="420"/>
      </w:pPr>
      <w:rPr>
        <w:rFonts w:hint="eastAsia" w:ascii="宋体" w:hAnsi="宋体" w:eastAsia="宋体"/>
        <w:b w:val="0"/>
        <w:bCs/>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A906B61"/>
    <w:multiLevelType w:val="multilevel"/>
    <w:tmpl w:val="3A906B61"/>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CA53F92"/>
    <w:multiLevelType w:val="multilevel"/>
    <w:tmpl w:val="3CA53F92"/>
    <w:lvl w:ilvl="0" w:tentative="0">
      <w:start w:val="1"/>
      <w:numFmt w:val="chineseCountingThousand"/>
      <w:lvlText w:val="(%1)"/>
      <w:lvlJc w:val="left"/>
      <w:pPr>
        <w:ind w:left="420" w:hanging="420"/>
      </w:pPr>
      <w:rPr>
        <w:rFonts w:hint="default" w:ascii="等线" w:hAnsi="等线" w:eastAsia="等线"/>
        <w:b/>
        <w:bCs/>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3DC0987"/>
    <w:multiLevelType w:val="multilevel"/>
    <w:tmpl w:val="43DC0987"/>
    <w:lvl w:ilvl="0" w:tentative="0">
      <w:start w:val="1"/>
      <w:numFmt w:val="decimal"/>
      <w:lvlText w:val="%1."/>
      <w:lvlJc w:val="left"/>
      <w:pPr>
        <w:ind w:left="0" w:firstLine="0"/>
      </w:pPr>
      <w:rPr>
        <w:rFonts w:hint="eastAsia" w:ascii="宋体" w:hAnsi="仿宋" w:eastAsia="宋体"/>
        <w:b/>
        <w:bCs w:val="0"/>
        <w:i w:val="0"/>
        <w:iCs w:val="0"/>
        <w:caps w:val="0"/>
        <w:smallCaps w:val="0"/>
        <w:strike w:val="0"/>
        <w:dstrike w:val="0"/>
        <w:vanish w:val="0"/>
        <w:spacing w:val="0"/>
        <w:position w:val="0"/>
        <w:sz w:val="28"/>
        <w:u w:val="none"/>
        <w:vertAlign w:val="baseline"/>
      </w:rPr>
    </w:lvl>
    <w:lvl w:ilvl="1" w:tentative="0">
      <w:start w:val="1"/>
      <w:numFmt w:val="decimal"/>
      <w:lvlText w:val="1.%2"/>
      <w:lvlJc w:val="left"/>
      <w:pPr>
        <w:ind w:left="284" w:firstLine="0"/>
      </w:pPr>
      <w:rPr>
        <w:rFonts w:hint="eastAsia"/>
        <w:b/>
        <w:bCs w:val="0"/>
        <w:i w:val="0"/>
      </w:rPr>
    </w:lvl>
    <w:lvl w:ilvl="2" w:tentative="0">
      <w:start w:val="1"/>
      <w:numFmt w:val="decimal"/>
      <w:pStyle w:val="4"/>
      <w:lvlText w:val="%1.%2.%3."/>
      <w:lvlJc w:val="left"/>
      <w:pPr>
        <w:ind w:left="284" w:firstLine="0"/>
      </w:pPr>
      <w:rPr>
        <w:rFonts w:hint="eastAsia" w:ascii="宋体" w:hAnsi="仿宋" w:eastAsia="宋体"/>
        <w:b/>
        <w:i w:val="0"/>
        <w:sz w:val="24"/>
      </w:rPr>
    </w:lvl>
    <w:lvl w:ilvl="3" w:tentative="0">
      <w:start w:val="1"/>
      <w:numFmt w:val="decimal"/>
      <w:lvlText w:val="%1.%2.%3.%4."/>
      <w:lvlJc w:val="left"/>
      <w:pPr>
        <w:ind w:left="0" w:firstLine="0"/>
      </w:pPr>
      <w:rPr>
        <w:rFonts w:hint="eastAsia" w:ascii="宋体" w:hAnsi="仿宋" w:eastAsia="宋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9">
    <w:nsid w:val="447B6378"/>
    <w:multiLevelType w:val="multilevel"/>
    <w:tmpl w:val="447B6378"/>
    <w:lvl w:ilvl="0" w:tentative="0">
      <w:start w:val="1"/>
      <w:numFmt w:val="decimal"/>
      <w:pStyle w:val="13"/>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8C83113"/>
    <w:multiLevelType w:val="multilevel"/>
    <w:tmpl w:val="58C83113"/>
    <w:lvl w:ilvl="0" w:tentative="0">
      <w:start w:val="1"/>
      <w:numFmt w:val="decimal"/>
      <w:lvlText w:val="(%1)"/>
      <w:lvlJc w:val="left"/>
      <w:pPr>
        <w:ind w:left="704" w:hanging="420"/>
      </w:pPr>
      <w:rPr>
        <w:rFonts w:hint="eastAsia" w:ascii="宋体" w:eastAsia="宋体"/>
        <w:b w:val="0"/>
        <w:i w:val="0"/>
        <w:sz w:val="21"/>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1">
    <w:nsid w:val="6D7E4CF8"/>
    <w:multiLevelType w:val="multilevel"/>
    <w:tmpl w:val="6D7E4CF8"/>
    <w:lvl w:ilvl="0" w:tentative="0">
      <w:start w:val="1"/>
      <w:numFmt w:val="decimal"/>
      <w:lvlText w:val="(%1)"/>
      <w:lvlJc w:val="left"/>
      <w:pPr>
        <w:ind w:left="704" w:hanging="420"/>
      </w:pPr>
      <w:rPr>
        <w:rFonts w:hint="eastAsia" w:ascii="宋体" w:eastAsia="宋体"/>
        <w:b w:val="0"/>
        <w:i w:val="0"/>
        <w:sz w:val="21"/>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2">
    <w:nsid w:val="785472D0"/>
    <w:multiLevelType w:val="multilevel"/>
    <w:tmpl w:val="785472D0"/>
    <w:lvl w:ilvl="0" w:tentative="0">
      <w:start w:val="1"/>
      <w:numFmt w:val="decimal"/>
      <w:lvlText w:val="(%1)"/>
      <w:lvlJc w:val="left"/>
      <w:pPr>
        <w:ind w:left="704" w:hanging="420"/>
      </w:pPr>
      <w:rPr>
        <w:rFonts w:hint="eastAsia" w:ascii="宋体" w:eastAsia="宋体"/>
        <w:b w:val="0"/>
        <w:i w:val="0"/>
        <w:sz w:val="21"/>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3">
    <w:nsid w:val="79951150"/>
    <w:multiLevelType w:val="multilevel"/>
    <w:tmpl w:val="79951150"/>
    <w:lvl w:ilvl="0" w:tentative="0">
      <w:start w:val="1"/>
      <w:numFmt w:val="decimal"/>
      <w:lvlText w:val="3.%1"/>
      <w:lvlJc w:val="left"/>
      <w:pPr>
        <w:ind w:left="420" w:hanging="420"/>
      </w:pPr>
      <w:rPr>
        <w:rFonts w:hint="eastAsia" w:ascii="等线" w:hAnsi="等线" w:eastAsia="等线"/>
        <w:b w:val="0"/>
        <w:bCs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B4D0224"/>
    <w:multiLevelType w:val="multilevel"/>
    <w:tmpl w:val="7B4D0224"/>
    <w:lvl w:ilvl="0" w:tentative="0">
      <w:start w:val="1"/>
      <w:numFmt w:val="decimal"/>
      <w:lvlText w:val="1.%1"/>
      <w:lvlJc w:val="left"/>
      <w:pPr>
        <w:ind w:left="284" w:hanging="284"/>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E3F7DD9"/>
    <w:multiLevelType w:val="multilevel"/>
    <w:tmpl w:val="7E3F7DD9"/>
    <w:lvl w:ilvl="0" w:tentative="0">
      <w:start w:val="1"/>
      <w:numFmt w:val="decimal"/>
      <w:lvlText w:val="%1."/>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8"/>
  </w:num>
  <w:num w:numId="2">
    <w:abstractNumId w:val="19"/>
  </w:num>
  <w:num w:numId="3">
    <w:abstractNumId w:val="17"/>
  </w:num>
  <w:num w:numId="4">
    <w:abstractNumId w:val="9"/>
  </w:num>
  <w:num w:numId="5">
    <w:abstractNumId w:val="15"/>
  </w:num>
  <w:num w:numId="6">
    <w:abstractNumId w:val="10"/>
  </w:num>
  <w:num w:numId="7">
    <w:abstractNumId w:val="25"/>
  </w:num>
  <w:num w:numId="8">
    <w:abstractNumId w:val="23"/>
  </w:num>
  <w:num w:numId="9">
    <w:abstractNumId w:val="16"/>
  </w:num>
  <w:num w:numId="10">
    <w:abstractNumId w:val="8"/>
  </w:num>
  <w:num w:numId="11">
    <w:abstractNumId w:val="4"/>
  </w:num>
  <w:num w:numId="12">
    <w:abstractNumId w:val="2"/>
  </w:num>
  <w:num w:numId="13">
    <w:abstractNumId w:val="5"/>
  </w:num>
  <w:num w:numId="14">
    <w:abstractNumId w:val="24"/>
  </w:num>
  <w:num w:numId="15">
    <w:abstractNumId w:val="11"/>
  </w:num>
  <w:num w:numId="16">
    <w:abstractNumId w:val="6"/>
  </w:num>
  <w:num w:numId="17">
    <w:abstractNumId w:val="13"/>
  </w:num>
  <w:num w:numId="18">
    <w:abstractNumId w:val="22"/>
  </w:num>
  <w:num w:numId="19">
    <w:abstractNumId w:val="12"/>
  </w:num>
  <w:num w:numId="20">
    <w:abstractNumId w:val="20"/>
  </w:num>
  <w:num w:numId="21">
    <w:abstractNumId w:val="7"/>
  </w:num>
  <w:num w:numId="22">
    <w:abstractNumId w:val="21"/>
  </w:num>
  <w:num w:numId="23">
    <w:abstractNumId w:val="3"/>
  </w:num>
  <w:num w:numId="24">
    <w:abstractNumId w:val="14"/>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92272"/>
    <w:rsid w:val="0A3D5FCC"/>
    <w:rsid w:val="11455101"/>
    <w:rsid w:val="16B43712"/>
    <w:rsid w:val="17DE7903"/>
    <w:rsid w:val="18165855"/>
    <w:rsid w:val="186407CC"/>
    <w:rsid w:val="18A63B7F"/>
    <w:rsid w:val="24637B9D"/>
    <w:rsid w:val="24767EF8"/>
    <w:rsid w:val="27412226"/>
    <w:rsid w:val="32856F72"/>
    <w:rsid w:val="3BA046C0"/>
    <w:rsid w:val="437D5CDC"/>
    <w:rsid w:val="49792272"/>
    <w:rsid w:val="4F232477"/>
    <w:rsid w:val="5A144126"/>
    <w:rsid w:val="69914014"/>
    <w:rsid w:val="741749BE"/>
    <w:rsid w:val="748730E8"/>
    <w:rsid w:val="761C3EEF"/>
    <w:rsid w:val="7EFF29FE"/>
    <w:rsid w:val="7F604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imes New Roman"/>
      <w:kern w:val="2"/>
      <w:sz w:val="24"/>
      <w:szCs w:val="22"/>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eastAsia="黑体"/>
      <w:b/>
      <w:bCs/>
      <w:kern w:val="44"/>
      <w:sz w:val="44"/>
      <w:szCs w:val="44"/>
    </w:rPr>
  </w:style>
  <w:style w:type="paragraph" w:styleId="3">
    <w:name w:val="heading 4"/>
    <w:basedOn w:val="1"/>
    <w:next w:val="1"/>
    <w:semiHidden/>
    <w:unhideWhenUsed/>
    <w:qFormat/>
    <w:uiPriority w:val="0"/>
    <w:pPr>
      <w:keepNext/>
      <w:keepLines/>
      <w:spacing w:before="280" w:after="290" w:line="376" w:lineRule="auto"/>
      <w:outlineLvl w:val="3"/>
    </w:pPr>
    <w:rPr>
      <w:rFonts w:ascii="等线 Light" w:hAnsi="等线 Light" w:cs="Times New Roman"/>
      <w:b/>
      <w:bCs/>
      <w:sz w:val="28"/>
      <w:szCs w:val="28"/>
    </w:rPr>
  </w:style>
  <w:style w:type="paragraph" w:styleId="4">
    <w:name w:val="heading 5"/>
    <w:basedOn w:val="1"/>
    <w:next w:val="1"/>
    <w:semiHidden/>
    <w:unhideWhenUsed/>
    <w:qFormat/>
    <w:uiPriority w:val="0"/>
    <w:pPr>
      <w:keepNext/>
      <w:keepLines/>
      <w:numPr>
        <w:ilvl w:val="2"/>
        <w:numId w:val="1"/>
      </w:numPr>
      <w:outlineLvl w:val="4"/>
    </w:pPr>
    <w:rPr>
      <w:rFonts w:eastAsia="宋体"/>
      <w:bCs/>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宋体" w:hAnsi="宋体" w:eastAsia="宋体" w:cs="宋体"/>
      <w:sz w:val="28"/>
      <w:szCs w:val="28"/>
      <w:lang w:val="en-US" w:eastAsia="en-US"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_3"/>
    <w:qFormat/>
    <w:uiPriority w:val="3"/>
    <w:pPr>
      <w:widowControl w:val="0"/>
      <w:ind w:firstLine="560" w:firstLineChars="200"/>
      <w:jc w:val="both"/>
    </w:pPr>
    <w:rPr>
      <w:rFonts w:ascii="Times New Roman" w:hAnsi="Times New Roman" w:eastAsia="宋体" w:cs="Times New Roman"/>
      <w:kern w:val="2"/>
      <w:sz w:val="28"/>
      <w:szCs w:val="28"/>
      <w:lang w:val="en-US" w:eastAsia="zh-CN" w:bidi="ar-SA"/>
    </w:rPr>
  </w:style>
  <w:style w:type="paragraph" w:customStyle="1" w:styleId="10">
    <w:name w:val="Body Text_1"/>
    <w:basedOn w:val="11"/>
    <w:semiHidden/>
    <w:qFormat/>
    <w:uiPriority w:val="0"/>
    <w:rPr>
      <w:rFonts w:ascii="黑体" w:hAnsi="黑体" w:eastAsia="黑体" w:cs="黑体"/>
      <w:sz w:val="36"/>
      <w:szCs w:val="36"/>
      <w:lang w:eastAsia="en-US"/>
    </w:rPr>
  </w:style>
  <w:style w:type="paragraph" w:customStyle="1" w:styleId="11">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Normal_0_0"/>
    <w:qFormat/>
    <w:uiPriority w:val="0"/>
    <w:pPr>
      <w:widowControl w:val="0"/>
      <w:ind w:firstLine="420" w:firstLineChars="200"/>
      <w:jc w:val="both"/>
    </w:pPr>
    <w:rPr>
      <w:rFonts w:ascii="Calibri" w:hAnsi="Calibri" w:eastAsia="Times New Roman" w:cs="Times New Roman"/>
      <w:kern w:val="2"/>
      <w:sz w:val="21"/>
      <w:szCs w:val="22"/>
      <w:lang w:val="en-US" w:eastAsia="zh-CN" w:bidi="ar-SA"/>
    </w:rPr>
  </w:style>
  <w:style w:type="paragraph" w:styleId="13">
    <w:name w:val="List Paragraph"/>
    <w:basedOn w:val="1"/>
    <w:qFormat/>
    <w:uiPriority w:val="34"/>
    <w:pPr>
      <w:numPr>
        <w:ilvl w:val="0"/>
        <w:numId w:val="2"/>
      </w:numPr>
    </w:pPr>
  </w:style>
  <w:style w:type="character" w:customStyle="1" w:styleId="14">
    <w:name w:val="font41"/>
    <w:basedOn w:val="8"/>
    <w:qFormat/>
    <w:uiPriority w:val="0"/>
    <w:rPr>
      <w:rFonts w:hint="eastAsia" w:ascii="微软雅黑" w:hAnsi="微软雅黑" w:eastAsia="微软雅黑" w:cs="微软雅黑"/>
      <w:color w:val="FF0000"/>
      <w:sz w:val="18"/>
      <w:szCs w:val="18"/>
      <w:u w:val="none"/>
    </w:rPr>
  </w:style>
  <w:style w:type="character" w:customStyle="1" w:styleId="15">
    <w:name w:val="font31"/>
    <w:basedOn w:val="8"/>
    <w:qFormat/>
    <w:uiPriority w:val="0"/>
    <w:rPr>
      <w:rFonts w:hint="eastAsia" w:ascii="微软雅黑" w:hAnsi="微软雅黑" w:eastAsia="微软雅黑" w:cs="微软雅黑"/>
      <w:color w:val="000000"/>
      <w:sz w:val="18"/>
      <w:szCs w:val="18"/>
      <w:u w:val="none"/>
    </w:rPr>
  </w:style>
  <w:style w:type="paragraph" w:customStyle="1" w:styleId="16">
    <w:name w:val="Table Text"/>
    <w:basedOn w:val="1"/>
    <w:semiHidden/>
    <w:qFormat/>
    <w:uiPriority w:val="0"/>
    <w:rPr>
      <w:rFonts w:ascii="宋体" w:hAnsi="宋体" w:eastAsia="宋体" w:cs="宋体"/>
      <w:sz w:val="22"/>
      <w:szCs w:val="22"/>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11818</Words>
  <Characters>12659</Characters>
  <Lines>0</Lines>
  <Paragraphs>0</Paragraphs>
  <TotalTime>0</TotalTime>
  <ScaleCrop>false</ScaleCrop>
  <LinksUpToDate>false</LinksUpToDate>
  <CharactersWithSpaces>12766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2025-10-10T01:42:00Z</dcterms:created>
  <dc:creator>gctest</dc:creator>
  <cp:lastModifiedBy>沧海桑田</cp:lastModifiedBy>
  <dcterms:modified xsi:type="dcterms:W3CDTF">2025-10-14T02:55:40Z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eyJoZGlkIjoiZmUxN2I0YjEyMTY2ZGY3ZTkzOTUyM2FhNDExMzM0MzAiLCJ1c2VySWQiOiI0MzcyOTg1MTgifQ==</vt:lpwstr>
  </property>
  <property fmtid="{D5CDD505-2E9C-101B-9397-08002B2CF9AE}" pid="4" name="ICV">
    <vt:lpwstr>40B01E2E76144695B24A87CDF936A770_12</vt:lpwstr>
  </property>
</Properties>
</file>